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E7D781" w14:textId="77777777" w:rsidR="005D6C89" w:rsidRDefault="005D6C89" w:rsidP="005D6C89">
      <w:pPr>
        <w:spacing w:line="240" w:lineRule="auto"/>
        <w:jc w:val="center"/>
        <w:rPr>
          <w:b/>
        </w:rPr>
      </w:pPr>
      <w:r>
        <w:rPr>
          <w:b/>
        </w:rPr>
        <w:t>UNITED STATES DISTRICT COURT</w:t>
      </w:r>
    </w:p>
    <w:p w14:paraId="25434176" w14:textId="77777777" w:rsidR="005D6C89" w:rsidRDefault="005D6C89" w:rsidP="005D6C89">
      <w:pPr>
        <w:spacing w:line="240" w:lineRule="auto"/>
        <w:jc w:val="center"/>
      </w:pPr>
      <w:r>
        <w:rPr>
          <w:b/>
        </w:rPr>
        <w:t>DISTRICT OF MOOT</w:t>
      </w:r>
    </w:p>
    <w:p w14:paraId="20331E4A" w14:textId="77777777" w:rsidR="005D6C89" w:rsidRDefault="005D6C89" w:rsidP="005D6C89">
      <w:pPr>
        <w:spacing w:line="240" w:lineRule="auto"/>
        <w:jc w:val="center"/>
      </w:pPr>
    </w:p>
    <w:p w14:paraId="641DCF3A" w14:textId="77777777" w:rsidR="006712D7" w:rsidRDefault="006712D7" w:rsidP="005D6C89">
      <w:pPr>
        <w:spacing w:line="240" w:lineRule="auto"/>
        <w:jc w:val="center"/>
        <w:sectPr w:rsidR="006712D7" w:rsidSect="00F9093C">
          <w:headerReference w:type="default" r:id="rId9"/>
          <w:pgSz w:w="12240" w:h="15840"/>
          <w:pgMar w:top="1440" w:right="1440" w:bottom="1440" w:left="1440" w:header="720" w:footer="720" w:gutter="0"/>
          <w:cols w:space="720"/>
          <w:docGrid w:linePitch="360"/>
        </w:sectPr>
      </w:pPr>
    </w:p>
    <w:p w14:paraId="66A3D5CF" w14:textId="77777777" w:rsidR="005D6C89" w:rsidRDefault="005D6C89" w:rsidP="005D6C89">
      <w:pPr>
        <w:spacing w:line="240" w:lineRule="auto"/>
        <w:jc w:val="center"/>
      </w:pPr>
    </w:p>
    <w:p w14:paraId="364E5C10" w14:textId="77777777" w:rsidR="006712D7" w:rsidRDefault="006712D7" w:rsidP="005D6C89">
      <w:pPr>
        <w:spacing w:line="240" w:lineRule="auto"/>
        <w:sectPr w:rsidR="006712D7" w:rsidSect="006712D7">
          <w:type w:val="continuous"/>
          <w:pgSz w:w="12240" w:h="15840"/>
          <w:pgMar w:top="1440" w:right="1440" w:bottom="1440" w:left="1440" w:header="720" w:footer="720" w:gutter="0"/>
          <w:cols w:num="2" w:space="720"/>
          <w:docGrid w:linePitch="360"/>
        </w:sectPr>
      </w:pPr>
    </w:p>
    <w:p w14:paraId="772EA0EF" w14:textId="77777777" w:rsidR="00035FCD" w:rsidRDefault="00D5682A" w:rsidP="005D6C89">
      <w:pPr>
        <w:spacing w:line="240" w:lineRule="auto"/>
      </w:pPr>
      <w:r>
        <w:lastRenderedPageBreak/>
        <w:t>OGS TV</w:t>
      </w:r>
      <w:r w:rsidR="00035FCD">
        <w:t xml:space="preserve">, </w:t>
      </w:r>
      <w:r>
        <w:t>Inc.</w:t>
      </w:r>
      <w:r w:rsidR="003E5A1D">
        <w:t xml:space="preserve">           </w:t>
      </w:r>
    </w:p>
    <w:p w14:paraId="52E0E9D5" w14:textId="77777777" w:rsidR="006712D7" w:rsidRDefault="006712D7" w:rsidP="00035FCD">
      <w:pPr>
        <w:spacing w:line="240" w:lineRule="auto"/>
        <w:ind w:left="1440" w:firstLine="720"/>
      </w:pPr>
    </w:p>
    <w:p w14:paraId="197777B5" w14:textId="77777777" w:rsidR="005D6C89" w:rsidRDefault="006712D7" w:rsidP="00035FCD">
      <w:pPr>
        <w:spacing w:line="240" w:lineRule="auto"/>
        <w:ind w:left="1440" w:firstLine="720"/>
      </w:pPr>
      <w:r>
        <w:t>P</w:t>
      </w:r>
      <w:r w:rsidR="00035FCD">
        <w:t>laint</w:t>
      </w:r>
      <w:r>
        <w:t xml:space="preserve">iff                            </w:t>
      </w:r>
    </w:p>
    <w:p w14:paraId="173820BD" w14:textId="77777777" w:rsidR="00035FCD" w:rsidRDefault="00035FCD" w:rsidP="005D6C89">
      <w:pPr>
        <w:spacing w:line="240" w:lineRule="auto"/>
      </w:pPr>
      <w:r>
        <w:t xml:space="preserve">                                              </w:t>
      </w:r>
      <w:r w:rsidR="006712D7">
        <w:t xml:space="preserve">                               </w:t>
      </w:r>
    </w:p>
    <w:p w14:paraId="5F4CBF29" w14:textId="77777777" w:rsidR="005D6C89" w:rsidRDefault="005D6C89" w:rsidP="00035FCD">
      <w:pPr>
        <w:spacing w:line="240" w:lineRule="auto"/>
        <w:ind w:left="720" w:firstLine="720"/>
      </w:pPr>
      <w:r>
        <w:t>v.</w:t>
      </w:r>
      <w:r w:rsidR="00035FCD">
        <w:t xml:space="preserve">                   </w:t>
      </w:r>
      <w:r w:rsidR="006712D7">
        <w:t xml:space="preserve">                               </w:t>
      </w:r>
    </w:p>
    <w:p w14:paraId="1E4E7332" w14:textId="77777777" w:rsidR="00035FCD" w:rsidRDefault="00035FCD" w:rsidP="005D6C89">
      <w:pPr>
        <w:spacing w:line="240" w:lineRule="auto"/>
      </w:pPr>
      <w:r>
        <w:t xml:space="preserve">                                              </w:t>
      </w:r>
      <w:r w:rsidR="006712D7">
        <w:t xml:space="preserve">                               </w:t>
      </w:r>
    </w:p>
    <w:p w14:paraId="42A5FCD6" w14:textId="77777777" w:rsidR="006712D7" w:rsidRDefault="00D5682A" w:rsidP="005D6C89">
      <w:pPr>
        <w:spacing w:line="240" w:lineRule="auto"/>
      </w:pPr>
      <w:proofErr w:type="gramStart"/>
      <w:r>
        <w:t>Elizabeth LIME</w:t>
      </w:r>
      <w:r w:rsidR="005D6C89">
        <w:t>,</w:t>
      </w:r>
      <w:r>
        <w:t xml:space="preserve"> and </w:t>
      </w:r>
      <w:proofErr w:type="spellStart"/>
      <w:r>
        <w:t>TinyTV</w:t>
      </w:r>
      <w:proofErr w:type="spellEnd"/>
      <w:r>
        <w:t>, Inc.</w:t>
      </w:r>
      <w:proofErr w:type="gramEnd"/>
      <w:r w:rsidR="00035FCD">
        <w:t xml:space="preserve">      </w:t>
      </w:r>
    </w:p>
    <w:p w14:paraId="74E17601" w14:textId="77777777" w:rsidR="006712D7" w:rsidRDefault="006712D7" w:rsidP="005D6C89">
      <w:pPr>
        <w:spacing w:line="240" w:lineRule="auto"/>
      </w:pPr>
      <w:r>
        <w:tab/>
      </w:r>
      <w:r>
        <w:tab/>
      </w:r>
      <w:r>
        <w:tab/>
      </w:r>
    </w:p>
    <w:p w14:paraId="08790385" w14:textId="77777777" w:rsidR="006712D7" w:rsidRDefault="006712D7" w:rsidP="005D6C89">
      <w:pPr>
        <w:spacing w:line="240" w:lineRule="auto"/>
      </w:pPr>
      <w:r>
        <w:tab/>
      </w:r>
      <w:r>
        <w:tab/>
      </w:r>
      <w:r>
        <w:tab/>
        <w:t>Defendant</w:t>
      </w:r>
    </w:p>
    <w:p w14:paraId="2588C23C" w14:textId="77777777" w:rsidR="006712D7" w:rsidRDefault="006712D7" w:rsidP="005D6C89">
      <w:pPr>
        <w:spacing w:line="240" w:lineRule="auto"/>
      </w:pPr>
    </w:p>
    <w:p w14:paraId="0A904520" w14:textId="77777777" w:rsidR="006712D7" w:rsidRDefault="006712D7" w:rsidP="005D6C89">
      <w:pPr>
        <w:spacing w:line="240" w:lineRule="auto"/>
      </w:pPr>
    </w:p>
    <w:p w14:paraId="5BB8A17C" w14:textId="77777777" w:rsidR="006712D7" w:rsidRDefault="006712D7" w:rsidP="005D6C89">
      <w:pPr>
        <w:spacing w:line="240" w:lineRule="auto"/>
      </w:pPr>
    </w:p>
    <w:p w14:paraId="5517E91D" w14:textId="77777777" w:rsidR="006712D7" w:rsidRDefault="006712D7" w:rsidP="006712D7">
      <w:pPr>
        <w:spacing w:line="240" w:lineRule="auto"/>
      </w:pPr>
    </w:p>
    <w:p w14:paraId="1156D9ED" w14:textId="77777777" w:rsidR="006712D7" w:rsidRDefault="006712D7" w:rsidP="006712D7">
      <w:pPr>
        <w:spacing w:line="240" w:lineRule="auto"/>
      </w:pPr>
      <w:r>
        <w:lastRenderedPageBreak/>
        <w:t>)</w:t>
      </w:r>
    </w:p>
    <w:p w14:paraId="4BF30B26" w14:textId="77777777" w:rsidR="006712D7" w:rsidRDefault="006712D7" w:rsidP="006712D7">
      <w:pPr>
        <w:spacing w:line="240" w:lineRule="auto"/>
      </w:pPr>
      <w:r>
        <w:t>)</w:t>
      </w:r>
    </w:p>
    <w:p w14:paraId="45FF9788" w14:textId="77777777" w:rsidR="006712D7" w:rsidRDefault="006712D7" w:rsidP="006712D7">
      <w:pPr>
        <w:spacing w:line="240" w:lineRule="auto"/>
      </w:pPr>
      <w:r>
        <w:t>)</w:t>
      </w:r>
    </w:p>
    <w:p w14:paraId="7965175E" w14:textId="77777777" w:rsidR="006712D7" w:rsidRDefault="006712D7" w:rsidP="006712D7">
      <w:pPr>
        <w:spacing w:line="240" w:lineRule="auto"/>
      </w:pPr>
      <w:r>
        <w:t>)</w:t>
      </w:r>
    </w:p>
    <w:p w14:paraId="363E5E9F" w14:textId="77777777" w:rsidR="006712D7" w:rsidRDefault="006712D7" w:rsidP="006712D7">
      <w:pPr>
        <w:spacing w:line="240" w:lineRule="auto"/>
      </w:pPr>
      <w:r>
        <w:t xml:space="preserve">)     Civil Case No. </w:t>
      </w:r>
      <w:r w:rsidR="00D5682A">
        <w:t>27-CV-12-1234</w:t>
      </w:r>
    </w:p>
    <w:p w14:paraId="11C0BBC7" w14:textId="77777777" w:rsidR="006712D7" w:rsidRDefault="006712D7" w:rsidP="006712D7">
      <w:pPr>
        <w:spacing w:line="240" w:lineRule="auto"/>
      </w:pPr>
      <w:r>
        <w:t>)</w:t>
      </w:r>
    </w:p>
    <w:p w14:paraId="29F075BF" w14:textId="77777777" w:rsidR="006712D7" w:rsidRDefault="006712D7" w:rsidP="006712D7">
      <w:pPr>
        <w:spacing w:line="240" w:lineRule="auto"/>
      </w:pPr>
      <w:r>
        <w:t>)</w:t>
      </w:r>
    </w:p>
    <w:p w14:paraId="08E1D990" w14:textId="77777777" w:rsidR="00035FCD" w:rsidRDefault="006712D7" w:rsidP="006712D7">
      <w:pPr>
        <w:spacing w:line="240" w:lineRule="auto"/>
      </w:pPr>
      <w:r>
        <w:t xml:space="preserve">)     </w:t>
      </w:r>
      <w:r w:rsidR="007778C1">
        <w:t>MEMORANDUM OF LAW</w:t>
      </w:r>
    </w:p>
    <w:p w14:paraId="5B640D20" w14:textId="77777777" w:rsidR="00EF396E" w:rsidRDefault="006712D7" w:rsidP="006712D7">
      <w:pPr>
        <w:spacing w:line="240" w:lineRule="auto"/>
      </w:pPr>
      <w:r>
        <w:t xml:space="preserve">)     </w:t>
      </w:r>
      <w:r w:rsidR="007778C1">
        <w:t>IN SUPPORT OF DEFENDANTS’</w:t>
      </w:r>
    </w:p>
    <w:p w14:paraId="28587E16" w14:textId="77777777" w:rsidR="00EF396E" w:rsidRDefault="006712D7" w:rsidP="006712D7">
      <w:pPr>
        <w:spacing w:line="240" w:lineRule="auto"/>
      </w:pPr>
      <w:r>
        <w:t xml:space="preserve">)     </w:t>
      </w:r>
      <w:r w:rsidR="007778C1">
        <w:t xml:space="preserve">MOTION FOR </w:t>
      </w:r>
      <w:r w:rsidR="00C3267D">
        <w:t>JUDGMENT ON</w:t>
      </w:r>
    </w:p>
    <w:p w14:paraId="65E9D653" w14:textId="77777777" w:rsidR="006712D7" w:rsidRPr="00C3267D" w:rsidRDefault="006712D7" w:rsidP="006712D7">
      <w:pPr>
        <w:spacing w:line="240" w:lineRule="auto"/>
      </w:pPr>
      <w:r>
        <w:t>)</w:t>
      </w:r>
      <w:r w:rsidR="00C3267D">
        <w:t xml:space="preserve">     ON THE PLEADINGS</w:t>
      </w:r>
    </w:p>
    <w:p w14:paraId="56D0212B" w14:textId="77777777" w:rsidR="006712D7" w:rsidRDefault="006712D7" w:rsidP="006712D7">
      <w:pPr>
        <w:spacing w:line="240" w:lineRule="auto"/>
      </w:pPr>
      <w:r>
        <w:t>)</w:t>
      </w:r>
      <w:r w:rsidR="003E5A1D">
        <w:t xml:space="preserve">                                       </w:t>
      </w:r>
    </w:p>
    <w:p w14:paraId="0995417F" w14:textId="77777777" w:rsidR="006712D7" w:rsidRDefault="006712D7" w:rsidP="006712D7">
      <w:pPr>
        <w:spacing w:line="240" w:lineRule="auto"/>
        <w:sectPr w:rsidR="006712D7" w:rsidSect="006712D7">
          <w:type w:val="continuous"/>
          <w:pgSz w:w="12240" w:h="15840"/>
          <w:pgMar w:top="1440" w:right="1440" w:bottom="1440" w:left="1440" w:header="720" w:footer="720" w:gutter="0"/>
          <w:cols w:num="2" w:space="720"/>
          <w:docGrid w:linePitch="360"/>
        </w:sectPr>
      </w:pPr>
    </w:p>
    <w:p w14:paraId="3DFE5491" w14:textId="77777777" w:rsidR="005D6C89" w:rsidRPr="006030BD" w:rsidRDefault="006030BD" w:rsidP="006030BD">
      <w:pPr>
        <w:jc w:val="center"/>
        <w:rPr>
          <w:b/>
        </w:rPr>
      </w:pPr>
      <w:r>
        <w:rPr>
          <w:b/>
        </w:rPr>
        <w:lastRenderedPageBreak/>
        <w:t xml:space="preserve">I.  </w:t>
      </w:r>
      <w:r w:rsidRPr="00AD785A">
        <w:rPr>
          <w:b/>
        </w:rPr>
        <w:t>INTRODUCTION</w:t>
      </w:r>
    </w:p>
    <w:p w14:paraId="60FF17B0" w14:textId="77777777" w:rsidR="005D6C89" w:rsidRDefault="005D6C89" w:rsidP="000130AA">
      <w:pPr>
        <w:jc w:val="both"/>
      </w:pPr>
      <w:r>
        <w:tab/>
      </w:r>
      <w:r w:rsidR="00EF396E">
        <w:t>Defendants</w:t>
      </w:r>
      <w:r>
        <w:t xml:space="preserve"> </w:t>
      </w:r>
      <w:r w:rsidR="00EF396E">
        <w:t>Elizabeth Lime</w:t>
      </w:r>
      <w:r w:rsidR="00200327">
        <w:t xml:space="preserve"> </w:t>
      </w:r>
      <w:r w:rsidR="00EF396E">
        <w:t xml:space="preserve">and </w:t>
      </w:r>
      <w:proofErr w:type="spellStart"/>
      <w:r w:rsidR="00EF396E">
        <w:t>TinyTV</w:t>
      </w:r>
      <w:proofErr w:type="spellEnd"/>
      <w:r w:rsidR="00EF396E">
        <w:t xml:space="preserve">, Inc. </w:t>
      </w:r>
      <w:r>
        <w:t xml:space="preserve">offer this </w:t>
      </w:r>
      <w:r w:rsidR="007778C1">
        <w:t xml:space="preserve">Memorandum of Law in support of Defendants’ Motion for </w:t>
      </w:r>
      <w:r w:rsidR="00BA0B7E">
        <w:t>Judgment on the Pleadings</w:t>
      </w:r>
      <w:r w:rsidR="007778C1">
        <w:t xml:space="preserve"> under </w:t>
      </w:r>
      <w:r w:rsidR="00C3267D">
        <w:t>FRCP</w:t>
      </w:r>
      <w:r w:rsidR="007778C1">
        <w:t xml:space="preserve"> 12(</w:t>
      </w:r>
      <w:r w:rsidR="00BA0B7E">
        <w:t>c).</w:t>
      </w:r>
    </w:p>
    <w:p w14:paraId="353CB30C" w14:textId="77777777" w:rsidR="009B4AF3" w:rsidRDefault="005D6C89" w:rsidP="000130AA">
      <w:pPr>
        <w:ind w:firstLine="720"/>
        <w:jc w:val="both"/>
      </w:pPr>
      <w:r>
        <w:t xml:space="preserve">On </w:t>
      </w:r>
      <w:r w:rsidR="009B4AF3">
        <w:t>March 27, 2010</w:t>
      </w:r>
      <w:r>
        <w:t xml:space="preserve">, </w:t>
      </w:r>
      <w:r w:rsidR="009B4AF3">
        <w:t>Plaintiff OGS TV, Inc. approached Defendant Lime with an offer to participate in a work for hire by writing a screenplay for a TV episode.</w:t>
      </w:r>
      <w:r w:rsidR="006E57AC">
        <w:t xml:space="preserve"> </w:t>
      </w:r>
      <w:proofErr w:type="gramStart"/>
      <w:r w:rsidR="006E57AC">
        <w:t>(</w:t>
      </w:r>
      <w:proofErr w:type="spellStart"/>
      <w:r w:rsidR="006E57AC">
        <w:t>Compl</w:t>
      </w:r>
      <w:proofErr w:type="spellEnd"/>
      <w:r w:rsidR="006E57AC">
        <w:t>. ¶ 9).</w:t>
      </w:r>
      <w:proofErr w:type="gramEnd"/>
      <w:r w:rsidR="009B4AF3">
        <w:t xml:space="preserve"> They agreed without signing any contract</w:t>
      </w:r>
      <w:r w:rsidR="004C6B02">
        <w:t xml:space="preserve"> (Answ</w:t>
      </w:r>
      <w:r w:rsidR="00C3267D">
        <w:t>er</w:t>
      </w:r>
      <w:r w:rsidR="004C6B02">
        <w:t xml:space="preserve"> ¶ 3)</w:t>
      </w:r>
      <w:r w:rsidR="009B4AF3">
        <w:t>, and Defendant Lime produced the episode, which Plaintiff then rejected</w:t>
      </w:r>
      <w:r w:rsidR="00BC0B3E">
        <w:t xml:space="preserve"> and refused to produce</w:t>
      </w:r>
      <w:r w:rsidR="009B4AF3">
        <w:t>.</w:t>
      </w:r>
      <w:r w:rsidR="006E57AC">
        <w:t xml:space="preserve"> </w:t>
      </w:r>
      <w:proofErr w:type="gramStart"/>
      <w:r w:rsidR="006E57AC">
        <w:t>(</w:t>
      </w:r>
      <w:proofErr w:type="spellStart"/>
      <w:r w:rsidR="006E57AC">
        <w:t>Compl</w:t>
      </w:r>
      <w:proofErr w:type="spellEnd"/>
      <w:r w:rsidR="006E57AC">
        <w:t>. ¶ 26).</w:t>
      </w:r>
      <w:proofErr w:type="gramEnd"/>
      <w:r w:rsidR="009B4AF3">
        <w:t xml:space="preserve"> </w:t>
      </w:r>
      <w:r w:rsidR="00BC0B3E">
        <w:t xml:space="preserve">Defendant Lime and Defendant </w:t>
      </w:r>
      <w:proofErr w:type="spellStart"/>
      <w:r w:rsidR="00BC0B3E">
        <w:t>TinyTV</w:t>
      </w:r>
      <w:proofErr w:type="spellEnd"/>
      <w:r w:rsidR="00BC0B3E">
        <w:t xml:space="preserve"> thereafter began collaborating on a new TV show that could utilize some of the ideas first expressed in the unaired screenplay. One week after the new show, created solely by Defendants Lime and </w:t>
      </w:r>
      <w:proofErr w:type="spellStart"/>
      <w:r w:rsidR="00BC0B3E">
        <w:t>TinyTV</w:t>
      </w:r>
      <w:proofErr w:type="spellEnd"/>
      <w:r w:rsidR="00BC0B3E">
        <w:t>, was aired, Plaintiff filed suit alleging infringement of copyright on September 15, 2010.</w:t>
      </w:r>
      <w:r w:rsidR="006E57AC">
        <w:t xml:space="preserve"> </w:t>
      </w:r>
      <w:proofErr w:type="gramStart"/>
      <w:r w:rsidR="006E57AC">
        <w:t>(</w:t>
      </w:r>
      <w:proofErr w:type="spellStart"/>
      <w:r w:rsidR="006E57AC">
        <w:t>Compl</w:t>
      </w:r>
      <w:proofErr w:type="spellEnd"/>
      <w:r w:rsidR="006E57AC">
        <w:t>. ¶ 33).</w:t>
      </w:r>
      <w:proofErr w:type="gramEnd"/>
    </w:p>
    <w:p w14:paraId="74ADB3B7" w14:textId="77777777" w:rsidR="005D6C89" w:rsidRDefault="00035FCD" w:rsidP="000130AA">
      <w:pPr>
        <w:ind w:firstLine="720"/>
        <w:jc w:val="both"/>
      </w:pPr>
      <w:r>
        <w:t xml:space="preserve"> </w:t>
      </w:r>
      <w:r w:rsidR="00CA2B7E">
        <w:t xml:space="preserve">On </w:t>
      </w:r>
      <w:r w:rsidR="009B4AF3">
        <w:t>January 23, 2012</w:t>
      </w:r>
      <w:r w:rsidR="00CA2B7E">
        <w:t xml:space="preserve">, this Court ordered </w:t>
      </w:r>
      <w:r w:rsidR="009B4AF3">
        <w:t>Plaintiff</w:t>
      </w:r>
      <w:r w:rsidR="00CA2B7E">
        <w:t xml:space="preserve"> and</w:t>
      </w:r>
      <w:r w:rsidR="009B4AF3">
        <w:t xml:space="preserve"> </w:t>
      </w:r>
      <w:r w:rsidR="00CA2B7E">
        <w:t>Defendant</w:t>
      </w:r>
      <w:r w:rsidR="009B4AF3">
        <w:t>s</w:t>
      </w:r>
      <w:r w:rsidR="00CA2B7E">
        <w:t xml:space="preserve"> to file briefs explaining how the Court should construe </w:t>
      </w:r>
      <w:r w:rsidR="009B4AF3">
        <w:t>17 U.S.C. § 101(2)</w:t>
      </w:r>
      <w:r w:rsidR="008C29B4">
        <w:t xml:space="preserve"> </w:t>
      </w:r>
      <w:r w:rsidR="00CA2B7E">
        <w:t xml:space="preserve">and </w:t>
      </w:r>
      <w:r w:rsidR="009B4AF3">
        <w:t>the f</w:t>
      </w:r>
      <w:r w:rsidR="00EC117E">
        <w:t xml:space="preserve">ederal </w:t>
      </w:r>
      <w:r w:rsidR="009B4AF3">
        <w:t>Copyright Act of 1976. T</w:t>
      </w:r>
      <w:r w:rsidR="00EC117E">
        <w:t xml:space="preserve">he Court asked </w:t>
      </w:r>
      <w:r w:rsidR="00CA2B7E">
        <w:t xml:space="preserve">whether </w:t>
      </w:r>
      <w:r w:rsidR="009B4AF3">
        <w:t xml:space="preserve">the requirement of a signed writing under the statute means that a writing </w:t>
      </w:r>
      <w:r w:rsidR="009B4AF3">
        <w:lastRenderedPageBreak/>
        <w:t xml:space="preserve">must be prepared and signed </w:t>
      </w:r>
      <w:r w:rsidR="009B4AF3" w:rsidRPr="009B4AF3">
        <w:rPr>
          <w:i/>
        </w:rPr>
        <w:t>before</w:t>
      </w:r>
      <w:r w:rsidR="009B4AF3">
        <w:t xml:space="preserve"> the work is created in order to serve as a work for hire</w:t>
      </w:r>
      <w:r w:rsidR="00CA2B7E">
        <w:t xml:space="preserve"> (Ct. Order 1.)</w:t>
      </w:r>
      <w:r w:rsidR="009B4AF3">
        <w:t>.</w:t>
      </w:r>
    </w:p>
    <w:p w14:paraId="46D463F3" w14:textId="77777777" w:rsidR="00CA2B7E" w:rsidRPr="00287821" w:rsidRDefault="00CA2B7E" w:rsidP="000130AA">
      <w:pPr>
        <w:jc w:val="both"/>
      </w:pPr>
      <w:r>
        <w:tab/>
      </w:r>
      <w:r w:rsidR="009B4AF3">
        <w:t xml:space="preserve">Defendants have filed an answer </w:t>
      </w:r>
      <w:r w:rsidR="006030BD">
        <w:t>containing a 12(b)(6) defense, and have subsequently presented a 12</w:t>
      </w:r>
      <w:r w:rsidR="000130AA">
        <w:t>(</w:t>
      </w:r>
      <w:r w:rsidR="00C3267D">
        <w:t>c</w:t>
      </w:r>
      <w:r w:rsidR="000130AA">
        <w:t xml:space="preserve">) </w:t>
      </w:r>
      <w:r>
        <w:t xml:space="preserve">motion </w:t>
      </w:r>
      <w:r w:rsidR="00C3267D">
        <w:t>for judgment on the pleadings</w:t>
      </w:r>
      <w:r w:rsidR="009B4AF3">
        <w:t xml:space="preserve"> </w:t>
      </w:r>
      <w:r w:rsidR="006030BD">
        <w:t xml:space="preserve">as a matter of law, </w:t>
      </w:r>
      <w:r w:rsidR="009B4AF3">
        <w:t xml:space="preserve">based on the </w:t>
      </w:r>
      <w:r w:rsidR="006030BD">
        <w:t xml:space="preserve">uncontested </w:t>
      </w:r>
      <w:r w:rsidR="009B4AF3">
        <w:t xml:space="preserve">facts of the case and the role 17 U.S.C. </w:t>
      </w:r>
      <w:r w:rsidR="009B4AF3" w:rsidRPr="00001A8C">
        <w:rPr>
          <w:rFonts w:ascii="Calibri" w:hAnsi="Calibri" w:cs="Calibri"/>
        </w:rPr>
        <w:t>§</w:t>
      </w:r>
      <w:r w:rsidR="009B4AF3">
        <w:t xml:space="preserve">101(2) plays in determining ownership of works for hire. </w:t>
      </w:r>
      <w:r w:rsidR="004C6B02">
        <w:t>This B</w:t>
      </w:r>
      <w:r w:rsidR="00BC0B3E">
        <w:t>rief will show that s</w:t>
      </w:r>
      <w:r w:rsidR="009B4AF3">
        <w:t>ince a writing was not created</w:t>
      </w:r>
      <w:r w:rsidR="004C6B02">
        <w:t xml:space="preserve"> and signed</w:t>
      </w:r>
      <w:r w:rsidR="009B4AF3">
        <w:t xml:space="preserve"> prior to the creation of the screenplay,</w:t>
      </w:r>
      <w:r w:rsidR="006E57AC">
        <w:t xml:space="preserve"> the screenplay does not fall under the protection of the federal Copyright Act as a rightful work for hire.</w:t>
      </w:r>
      <w:r w:rsidR="009B4AF3">
        <w:t xml:space="preserve"> </w:t>
      </w:r>
      <w:r w:rsidR="006E57AC">
        <w:t xml:space="preserve">Since Plaintiff does not own the screenplay under 17 U.S.C. </w:t>
      </w:r>
      <w:r w:rsidR="006E57AC" w:rsidRPr="00001A8C">
        <w:rPr>
          <w:rFonts w:ascii="Calibri" w:hAnsi="Calibri" w:cs="Calibri"/>
        </w:rPr>
        <w:t>§</w:t>
      </w:r>
      <w:r w:rsidR="006E57AC">
        <w:t xml:space="preserve">101(2), </w:t>
      </w:r>
      <w:r w:rsidR="009B4AF3">
        <w:t>the work</w:t>
      </w:r>
      <w:r w:rsidR="004C6B02">
        <w:t xml:space="preserve"> is</w:t>
      </w:r>
      <w:r w:rsidR="009B4AF3">
        <w:t xml:space="preserve"> rightfully </w:t>
      </w:r>
      <w:r w:rsidR="004C6B02">
        <w:t>owned by</w:t>
      </w:r>
      <w:r w:rsidR="009B4AF3">
        <w:t xml:space="preserve"> Defendant Lime and, given subsequent sales, of Defendant </w:t>
      </w:r>
      <w:proofErr w:type="spellStart"/>
      <w:r w:rsidR="009B4AF3">
        <w:t>TinyTV</w:t>
      </w:r>
      <w:proofErr w:type="spellEnd"/>
      <w:r w:rsidR="009B4AF3">
        <w:t>, Inc.</w:t>
      </w:r>
      <w:r w:rsidR="00BC0B3E">
        <w:t xml:space="preserve"> </w:t>
      </w:r>
    </w:p>
    <w:p w14:paraId="5D0B2D7A" w14:textId="77777777" w:rsidR="00C91BB3" w:rsidRDefault="00C91BB3" w:rsidP="00C91BB3">
      <w:pPr>
        <w:jc w:val="center"/>
      </w:pPr>
      <w:r>
        <w:rPr>
          <w:b/>
        </w:rPr>
        <w:t>II.  FACT</w:t>
      </w:r>
      <w:r w:rsidR="00937681">
        <w:rPr>
          <w:b/>
        </w:rPr>
        <w:t>S</w:t>
      </w:r>
    </w:p>
    <w:p w14:paraId="10DC971C" w14:textId="77777777" w:rsidR="00375412" w:rsidRDefault="004C6B02" w:rsidP="00951CB5">
      <w:pPr>
        <w:ind w:firstLine="720"/>
        <w:jc w:val="both"/>
      </w:pPr>
      <w:r>
        <w:t xml:space="preserve">Plaintiff in this case is a TV network that produces a show called </w:t>
      </w:r>
      <w:r w:rsidRPr="004C6B02">
        <w:rPr>
          <w:i/>
        </w:rPr>
        <w:t>Lawless Love</w:t>
      </w:r>
      <w:r>
        <w:t>.</w:t>
      </w:r>
      <w:r w:rsidR="006030BD">
        <w:t xml:space="preserve"> </w:t>
      </w:r>
      <w:proofErr w:type="gramStart"/>
      <w:r w:rsidR="006030BD">
        <w:t>(</w:t>
      </w:r>
      <w:proofErr w:type="spellStart"/>
      <w:r w:rsidR="006030BD">
        <w:t>Compl</w:t>
      </w:r>
      <w:proofErr w:type="spellEnd"/>
      <w:r w:rsidR="006030BD">
        <w:t>. ¶¶ 4 &amp; 8).</w:t>
      </w:r>
      <w:proofErr w:type="gramEnd"/>
      <w:r w:rsidR="006030BD">
        <w:t xml:space="preserve"> </w:t>
      </w:r>
      <w:r>
        <w:t>Plaintiff employs several writers to create screenplays for each episode, but for the 40th episode, Plaintiff chose to commission a well-known writer instead.</w:t>
      </w:r>
      <w:r w:rsidR="006030BD">
        <w:t xml:space="preserve"> </w:t>
      </w:r>
      <w:proofErr w:type="gramStart"/>
      <w:r w:rsidR="006030BD">
        <w:t>(</w:t>
      </w:r>
      <w:proofErr w:type="spellStart"/>
      <w:r w:rsidR="006030BD">
        <w:t>Compl</w:t>
      </w:r>
      <w:proofErr w:type="spellEnd"/>
      <w:r w:rsidR="006030BD">
        <w:t>. ¶¶ 9 &amp; 11).</w:t>
      </w:r>
      <w:proofErr w:type="gramEnd"/>
      <w:r>
        <w:t xml:space="preserve"> Plaintiff</w:t>
      </w:r>
      <w:r w:rsidR="00A32CCB">
        <w:t>’s executive producer Dave Nelson</w:t>
      </w:r>
      <w:r>
        <w:t xml:space="preserve"> contacted Defendant Lime for this purpose</w:t>
      </w:r>
      <w:r w:rsidR="00A32CCB">
        <w:t xml:space="preserve"> and met in person on March 27, 2010. </w:t>
      </w:r>
      <w:proofErr w:type="gramStart"/>
      <w:r w:rsidR="00A32CCB">
        <w:t>(</w:t>
      </w:r>
      <w:proofErr w:type="spellStart"/>
      <w:r w:rsidR="00A32CCB">
        <w:t>Compl</w:t>
      </w:r>
      <w:proofErr w:type="spellEnd"/>
      <w:r w:rsidR="00A32CCB">
        <w:t>. ¶ 12).</w:t>
      </w:r>
      <w:proofErr w:type="gramEnd"/>
      <w:r w:rsidR="00A32CCB">
        <w:t xml:space="preserve"> While Nelson orally instructed Defendant Lime to consider the screenplay a work for hire, and Defendant Lime orally agreed, no writing was ever created or signed that recognized this arrangement prior to the creation and delivery of the </w:t>
      </w:r>
      <w:r w:rsidR="00A32CCB" w:rsidRPr="00F63681">
        <w:rPr>
          <w:i/>
        </w:rPr>
        <w:t>Lawless Love</w:t>
      </w:r>
      <w:r w:rsidR="00A32CCB">
        <w:t xml:space="preserve"> screenplay.</w:t>
      </w:r>
      <w:r w:rsidR="00C3267D">
        <w:t xml:space="preserve"> </w:t>
      </w:r>
      <w:proofErr w:type="gramStart"/>
      <w:r w:rsidR="00C3267D">
        <w:t>(</w:t>
      </w:r>
      <w:proofErr w:type="spellStart"/>
      <w:r w:rsidR="00C3267D">
        <w:t>Compl</w:t>
      </w:r>
      <w:proofErr w:type="spellEnd"/>
      <w:r w:rsidR="00C3267D">
        <w:t>. ¶ 18 and Answer</w:t>
      </w:r>
      <w:r w:rsidR="002478D2">
        <w:t xml:space="preserve"> ¶ 3).</w:t>
      </w:r>
      <w:proofErr w:type="gramEnd"/>
    </w:p>
    <w:p w14:paraId="799DD553" w14:textId="77777777" w:rsidR="002478D2" w:rsidRDefault="002478D2" w:rsidP="00951CB5">
      <w:pPr>
        <w:ind w:firstLine="720"/>
        <w:jc w:val="both"/>
      </w:pPr>
      <w:r>
        <w:t xml:space="preserve">Plaintiff instructed Defendant Lime to begin work immediately, and Defendant Lime did so, submitting the Lawless Love screenplay on April 1, 2010. </w:t>
      </w:r>
      <w:proofErr w:type="gramStart"/>
      <w:r>
        <w:t>(</w:t>
      </w:r>
      <w:proofErr w:type="spellStart"/>
      <w:r>
        <w:t>Compl</w:t>
      </w:r>
      <w:proofErr w:type="spellEnd"/>
      <w:r>
        <w:t>. ¶ 21).</w:t>
      </w:r>
      <w:proofErr w:type="gramEnd"/>
      <w:r>
        <w:t xml:space="preserve"> It was not until April 6, 2010, that Defendant Lime received a document entitled “Work-Made-for-Hire </w:t>
      </w:r>
      <w:r>
        <w:lastRenderedPageBreak/>
        <w:t xml:space="preserve">Agreement”, which both she and Nelson signed. </w:t>
      </w:r>
      <w:proofErr w:type="gramStart"/>
      <w:r w:rsidR="006030BD">
        <w:t>(</w:t>
      </w:r>
      <w:proofErr w:type="spellStart"/>
      <w:r w:rsidR="006030BD">
        <w:t>Compl</w:t>
      </w:r>
      <w:proofErr w:type="spellEnd"/>
      <w:r w:rsidR="006030BD">
        <w:t>. ¶¶ 24 &amp; 25).</w:t>
      </w:r>
      <w:proofErr w:type="gramEnd"/>
      <w:r w:rsidR="006030BD">
        <w:t xml:space="preserve"> </w:t>
      </w:r>
      <w:r>
        <w:t xml:space="preserve">The document specifically cites the federal Copyright Act of 1976 as the controlling authority. </w:t>
      </w:r>
      <w:proofErr w:type="gramStart"/>
      <w:r>
        <w:t>(</w:t>
      </w:r>
      <w:proofErr w:type="spellStart"/>
      <w:r>
        <w:t>Compl</w:t>
      </w:r>
      <w:proofErr w:type="spellEnd"/>
      <w:r>
        <w:t>. ¶ 24).</w:t>
      </w:r>
      <w:proofErr w:type="gramEnd"/>
      <w:r>
        <w:t xml:space="preserve"> </w:t>
      </w:r>
    </w:p>
    <w:p w14:paraId="370DCE49" w14:textId="77777777" w:rsidR="002478D2" w:rsidRDefault="002478D2" w:rsidP="00951CB5">
      <w:pPr>
        <w:ind w:firstLine="720"/>
        <w:jc w:val="both"/>
      </w:pPr>
      <w:r>
        <w:t xml:space="preserve">After the end of the season on June 1, 2010, Defendant Lime was informed that her screenplay was unfit to be used for the show </w:t>
      </w:r>
      <w:r w:rsidRPr="002478D2">
        <w:rPr>
          <w:i/>
        </w:rPr>
        <w:t>Lawless Love</w:t>
      </w:r>
      <w:r>
        <w:t xml:space="preserve">, and that it could not realistically be produced. </w:t>
      </w:r>
      <w:proofErr w:type="gramStart"/>
      <w:r>
        <w:t>(</w:t>
      </w:r>
      <w:proofErr w:type="spellStart"/>
      <w:r>
        <w:t>Compl</w:t>
      </w:r>
      <w:proofErr w:type="spellEnd"/>
      <w:r>
        <w:t>. ¶ 26).</w:t>
      </w:r>
      <w:proofErr w:type="gramEnd"/>
      <w:r>
        <w:t xml:space="preserve"> As of today, Plaintiff has made no effort to produce or otherwise utilize the </w:t>
      </w:r>
      <w:r w:rsidRPr="00C93435">
        <w:rPr>
          <w:i/>
        </w:rPr>
        <w:t>Lawless Love</w:t>
      </w:r>
      <w:r>
        <w:t xml:space="preserve"> screenplay.</w:t>
      </w:r>
    </w:p>
    <w:p w14:paraId="27AF872F" w14:textId="77777777" w:rsidR="00B00ED0" w:rsidRDefault="002478D2" w:rsidP="00951CB5">
      <w:pPr>
        <w:ind w:firstLine="720"/>
        <w:jc w:val="both"/>
      </w:pPr>
      <w:r>
        <w:t xml:space="preserve">In August 2010, Defendant Lime and Defendant </w:t>
      </w:r>
      <w:proofErr w:type="spellStart"/>
      <w:r>
        <w:t>TinyTV</w:t>
      </w:r>
      <w:proofErr w:type="spellEnd"/>
      <w:r>
        <w:t xml:space="preserve"> began collaboration on a new show, </w:t>
      </w:r>
      <w:r w:rsidRPr="002478D2">
        <w:rPr>
          <w:i/>
        </w:rPr>
        <w:t>The Tin Can</w:t>
      </w:r>
      <w:r>
        <w:t xml:space="preserve">. </w:t>
      </w:r>
      <w:r w:rsidR="006030BD">
        <w:t>(</w:t>
      </w:r>
      <w:proofErr w:type="spellStart"/>
      <w:r w:rsidR="006030BD">
        <w:t>Compl</w:t>
      </w:r>
      <w:proofErr w:type="spellEnd"/>
      <w:r w:rsidR="006030BD">
        <w:t xml:space="preserve">. ¶ 27). </w:t>
      </w:r>
      <w:r w:rsidR="00DB7442">
        <w:t>Defendant Lime utilized some of the dialogue, ideas, and characters</w:t>
      </w:r>
      <w:r w:rsidR="00B00ED0">
        <w:t xml:space="preserve"> she</w:t>
      </w:r>
      <w:r w:rsidR="00DB7442">
        <w:t xml:space="preserve"> first used in the </w:t>
      </w:r>
      <w:r w:rsidR="00DB7442" w:rsidRPr="00F63681">
        <w:rPr>
          <w:i/>
        </w:rPr>
        <w:t>Lawless Love</w:t>
      </w:r>
      <w:r w:rsidR="00DB7442">
        <w:t xml:space="preserve"> screenplay in the course of producing a screenplay for </w:t>
      </w:r>
      <w:r w:rsidR="00DB7442" w:rsidRPr="00B00ED0">
        <w:rPr>
          <w:i/>
        </w:rPr>
        <w:t>The Tin Can</w:t>
      </w:r>
      <w:r w:rsidR="00DB7442">
        <w:t>.</w:t>
      </w:r>
      <w:r w:rsidR="006030BD">
        <w:t xml:space="preserve"> (</w:t>
      </w:r>
      <w:proofErr w:type="spellStart"/>
      <w:r w:rsidR="006030BD">
        <w:t>Compl</w:t>
      </w:r>
      <w:proofErr w:type="spellEnd"/>
      <w:r w:rsidR="006030BD">
        <w:t>. ¶ 31).</w:t>
      </w:r>
    </w:p>
    <w:p w14:paraId="13E1E68D" w14:textId="77777777" w:rsidR="00F6596B" w:rsidRDefault="00B00ED0" w:rsidP="00951CB5">
      <w:pPr>
        <w:ind w:firstLine="720"/>
        <w:jc w:val="both"/>
      </w:pPr>
      <w:r w:rsidRPr="00B00ED0">
        <w:rPr>
          <w:i/>
        </w:rPr>
        <w:t>The Tin Can</w:t>
      </w:r>
      <w:r>
        <w:t xml:space="preserve"> screenplay was produced, and aired on September 7, 2010. </w:t>
      </w:r>
      <w:proofErr w:type="gramStart"/>
      <w:r w:rsidR="006030BD">
        <w:t>(</w:t>
      </w:r>
      <w:proofErr w:type="spellStart"/>
      <w:r w:rsidR="006030BD">
        <w:t>Compl</w:t>
      </w:r>
      <w:proofErr w:type="spellEnd"/>
      <w:r w:rsidR="006030BD">
        <w:t>. ¶ 29).</w:t>
      </w:r>
      <w:proofErr w:type="gramEnd"/>
      <w:r w:rsidR="006030BD">
        <w:t xml:space="preserve"> </w:t>
      </w:r>
      <w:r>
        <w:t xml:space="preserve">Plaintiff immediately filed suit for copyright infringement, alleging that </w:t>
      </w:r>
      <w:r w:rsidR="00C93435">
        <w:t>it</w:t>
      </w:r>
      <w:r>
        <w:t xml:space="preserve"> own</w:t>
      </w:r>
      <w:r w:rsidR="00C93435">
        <w:t>s</w:t>
      </w:r>
      <w:r>
        <w:t xml:space="preserve"> the relevant rights to the screenplay first produced for </w:t>
      </w:r>
      <w:r w:rsidRPr="00B00ED0">
        <w:rPr>
          <w:i/>
        </w:rPr>
        <w:t>Lawless Love</w:t>
      </w:r>
      <w:r>
        <w:t xml:space="preserve">, and demanding outrageously high damages for a screenplay </w:t>
      </w:r>
      <w:r w:rsidR="00C93435">
        <w:t>it has</w:t>
      </w:r>
      <w:r>
        <w:t xml:space="preserve"> no intention of ever producing.</w:t>
      </w:r>
      <w:r w:rsidR="006030BD">
        <w:t xml:space="preserve"> </w:t>
      </w:r>
      <w:proofErr w:type="gramStart"/>
      <w:r w:rsidR="006030BD">
        <w:t>(</w:t>
      </w:r>
      <w:proofErr w:type="spellStart"/>
      <w:r w:rsidR="006030BD">
        <w:t>Compl</w:t>
      </w:r>
      <w:proofErr w:type="spellEnd"/>
      <w:r w:rsidR="006030BD">
        <w:t>. ¶¶ 26 &amp; 30).</w:t>
      </w:r>
      <w:proofErr w:type="gramEnd"/>
      <w:r>
        <w:t xml:space="preserve"> </w:t>
      </w:r>
      <w:r w:rsidR="00C93435">
        <w:t>Its</w:t>
      </w:r>
      <w:r>
        <w:t xml:space="preserve"> assertion of copyright is incorrect under the text of the federal Copyright Act of 1976, given the absence of a pre-creation writing. Based on the facts, precedent, and controlling federal law, this </w:t>
      </w:r>
      <w:r w:rsidR="004C5817">
        <w:t>Court should grant Defendants’ M</w:t>
      </w:r>
      <w:r>
        <w:t xml:space="preserve">otion for </w:t>
      </w:r>
      <w:r w:rsidR="004C5817">
        <w:t>Judgment on the Pleadings</w:t>
      </w:r>
      <w:r>
        <w:t xml:space="preserve"> under Rule 12(</w:t>
      </w:r>
      <w:r w:rsidR="00C3267D">
        <w:t>c)</w:t>
      </w:r>
      <w:r>
        <w:t xml:space="preserve">. </w:t>
      </w:r>
    </w:p>
    <w:p w14:paraId="5C5665D8" w14:textId="77777777" w:rsidR="00F6596B" w:rsidRDefault="00DC6C3D" w:rsidP="00F6596B">
      <w:pPr>
        <w:jc w:val="center"/>
      </w:pPr>
      <w:r>
        <w:rPr>
          <w:b/>
        </w:rPr>
        <w:t xml:space="preserve">III. </w:t>
      </w:r>
      <w:r w:rsidR="00F6596B">
        <w:rPr>
          <w:b/>
        </w:rPr>
        <w:t>ARGUMENT</w:t>
      </w:r>
    </w:p>
    <w:p w14:paraId="798DF944" w14:textId="77777777" w:rsidR="009C38F1" w:rsidRDefault="009C38F1" w:rsidP="00D9056A">
      <w:pPr>
        <w:pStyle w:val="NoSpacing"/>
        <w:numPr>
          <w:ilvl w:val="0"/>
          <w:numId w:val="19"/>
        </w:numPr>
        <w:rPr>
          <w:b/>
        </w:rPr>
      </w:pPr>
      <w:r w:rsidRPr="00D9056A">
        <w:rPr>
          <w:b/>
        </w:rPr>
        <w:t>To Grant Defendants’ Motion, This Court Must Examine the Complaint and Answer and Reach a Judgment, as Defined in F</w:t>
      </w:r>
      <w:r w:rsidR="006030BD" w:rsidRPr="00D9056A">
        <w:rPr>
          <w:b/>
        </w:rPr>
        <w:t xml:space="preserve">ed. </w:t>
      </w:r>
      <w:r w:rsidRPr="00D9056A">
        <w:rPr>
          <w:b/>
        </w:rPr>
        <w:t>R</w:t>
      </w:r>
      <w:r w:rsidR="006030BD" w:rsidRPr="00D9056A">
        <w:rPr>
          <w:b/>
        </w:rPr>
        <w:t xml:space="preserve">. </w:t>
      </w:r>
      <w:r w:rsidRPr="00D9056A">
        <w:rPr>
          <w:b/>
        </w:rPr>
        <w:t>C</w:t>
      </w:r>
      <w:r w:rsidR="006030BD" w:rsidRPr="00D9056A">
        <w:rPr>
          <w:b/>
        </w:rPr>
        <w:t xml:space="preserve">iv. </w:t>
      </w:r>
      <w:r w:rsidRPr="00D9056A">
        <w:rPr>
          <w:b/>
        </w:rPr>
        <w:t>P</w:t>
      </w:r>
      <w:r w:rsidR="006030BD" w:rsidRPr="00D9056A">
        <w:rPr>
          <w:b/>
        </w:rPr>
        <w:t>.</w:t>
      </w:r>
      <w:r w:rsidRPr="00D9056A">
        <w:rPr>
          <w:b/>
        </w:rPr>
        <w:t xml:space="preserve"> 12(c).</w:t>
      </w:r>
    </w:p>
    <w:p w14:paraId="56A091D3" w14:textId="77777777" w:rsidR="00D9056A" w:rsidRPr="00D9056A" w:rsidRDefault="00D9056A" w:rsidP="00D9056A">
      <w:pPr>
        <w:pStyle w:val="NoSpacing"/>
        <w:rPr>
          <w:b/>
        </w:rPr>
      </w:pPr>
    </w:p>
    <w:p w14:paraId="690729AF" w14:textId="77777777" w:rsidR="009C38F1" w:rsidRDefault="009C38F1" w:rsidP="00D9056A">
      <w:pPr>
        <w:rPr>
          <w:rFonts w:eastAsia="Times New Roman"/>
          <w:bCs/>
          <w:szCs w:val="24"/>
        </w:rPr>
      </w:pPr>
      <w:r>
        <w:tab/>
        <w:t xml:space="preserve">The issue </w:t>
      </w:r>
      <w:r w:rsidRPr="009C38F1">
        <w:t>here is</w:t>
      </w:r>
      <w:r>
        <w:t xml:space="preserve"> whether the Plaintiff’s claim of copyright infringement can be sustained </w:t>
      </w:r>
      <w:r w:rsidR="00094D00">
        <w:t>as a matter</w:t>
      </w:r>
      <w:r>
        <w:t xml:space="preserve"> of law, specifically</w:t>
      </w:r>
      <w:r w:rsidRPr="009C38F1">
        <w:t xml:space="preserve"> “</w:t>
      </w:r>
      <w:r w:rsidRPr="009C38F1">
        <w:rPr>
          <w:rFonts w:eastAsia="Times New Roman"/>
          <w:bCs/>
          <w:szCs w:val="24"/>
        </w:rPr>
        <w:t>does the requirement of a signed writing in 17 U.S.C. § 101(2) mean that the writing must be signed by both parties preceding creation of the work in order for the work to be considered ‘made for hire?’”</w:t>
      </w:r>
      <w:r>
        <w:rPr>
          <w:rFonts w:eastAsia="Times New Roman"/>
          <w:bCs/>
          <w:szCs w:val="24"/>
        </w:rPr>
        <w:t xml:space="preserve"> (Ct. Order 1). If this Court finds that the writing </w:t>
      </w:r>
      <w:r>
        <w:rPr>
          <w:rFonts w:eastAsia="Times New Roman"/>
          <w:bCs/>
          <w:szCs w:val="24"/>
        </w:rPr>
        <w:lastRenderedPageBreak/>
        <w:t>precedent is required, it must find in favor of Defendants and reject the Plaintiff’s claim for damages and injunction.</w:t>
      </w:r>
    </w:p>
    <w:p w14:paraId="52D71D34" w14:textId="77777777" w:rsidR="009C38F1" w:rsidRPr="009C38F1" w:rsidRDefault="009C38F1" w:rsidP="009C38F1">
      <w:pPr>
        <w:ind w:left="107"/>
      </w:pPr>
      <w:r>
        <w:rPr>
          <w:rFonts w:eastAsia="Times New Roman"/>
          <w:bCs/>
          <w:szCs w:val="24"/>
        </w:rPr>
        <w:tab/>
      </w:r>
      <w:r w:rsidR="00094D00">
        <w:rPr>
          <w:rFonts w:eastAsia="Times New Roman"/>
          <w:bCs/>
          <w:szCs w:val="24"/>
        </w:rPr>
        <w:t>In the context of this</w:t>
      </w:r>
      <w:r>
        <w:rPr>
          <w:rFonts w:eastAsia="Times New Roman"/>
          <w:bCs/>
          <w:szCs w:val="24"/>
        </w:rPr>
        <w:t xml:space="preserve"> 12(c) motion for judgment on the pleadings, no external evidence is admitted to the record, and judgment must be made as a matter of law. </w:t>
      </w:r>
      <w:r w:rsidR="009A3842">
        <w:rPr>
          <w:rFonts w:eastAsia="Times New Roman"/>
          <w:bCs/>
          <w:szCs w:val="24"/>
        </w:rPr>
        <w:t>While Plaintiff is correct in its assertion that all facts and inferences must be viewed in the light most favorable to Plaintiff, this is presently irrelevant, as there are no factual disputes involved and judgment rests solely on this issue of law.</w:t>
      </w:r>
    </w:p>
    <w:p w14:paraId="21882CAF" w14:textId="77777777" w:rsidR="00781951" w:rsidRDefault="00781951" w:rsidP="00D9056A">
      <w:pPr>
        <w:pStyle w:val="NoSpacing"/>
        <w:numPr>
          <w:ilvl w:val="0"/>
          <w:numId w:val="19"/>
        </w:numPr>
        <w:rPr>
          <w:b/>
        </w:rPr>
      </w:pPr>
      <w:r w:rsidRPr="00D9056A">
        <w:rPr>
          <w:b/>
        </w:rPr>
        <w:t>The Federal Copyright Act in 17 U.S.C.</w:t>
      </w:r>
      <w:r w:rsidR="00773BE9" w:rsidRPr="00D9056A">
        <w:rPr>
          <w:b/>
        </w:rPr>
        <w:t xml:space="preserve"> </w:t>
      </w:r>
      <w:r w:rsidR="00773BE9" w:rsidRPr="00D9056A">
        <w:rPr>
          <w:rFonts w:ascii="Calibri" w:hAnsi="Calibri" w:cs="Calibri"/>
          <w:b/>
        </w:rPr>
        <w:t>§</w:t>
      </w:r>
      <w:r w:rsidR="00773BE9" w:rsidRPr="00D9056A">
        <w:rPr>
          <w:b/>
        </w:rPr>
        <w:t xml:space="preserve"> 201</w:t>
      </w:r>
      <w:r w:rsidRPr="00D9056A">
        <w:rPr>
          <w:b/>
        </w:rPr>
        <w:t xml:space="preserve"> Indicates That the Requirement of a Signed Writing Must be Met Prior to the Creation of the Work.</w:t>
      </w:r>
    </w:p>
    <w:p w14:paraId="0026F26C" w14:textId="77777777" w:rsidR="00D9056A" w:rsidRPr="00D9056A" w:rsidRDefault="00D9056A" w:rsidP="00D9056A">
      <w:pPr>
        <w:pStyle w:val="NoSpacing"/>
        <w:ind w:left="720"/>
        <w:rPr>
          <w:b/>
        </w:rPr>
      </w:pPr>
    </w:p>
    <w:p w14:paraId="712EB93A" w14:textId="77777777" w:rsidR="00016FFC" w:rsidRDefault="00781951" w:rsidP="00D9056A">
      <w:pPr>
        <w:pStyle w:val="NoSpacing"/>
        <w:numPr>
          <w:ilvl w:val="0"/>
          <w:numId w:val="21"/>
        </w:numPr>
        <w:rPr>
          <w:b/>
          <w:i/>
        </w:rPr>
      </w:pPr>
      <w:r w:rsidRPr="00D9056A">
        <w:rPr>
          <w:b/>
          <w:i/>
        </w:rPr>
        <w:t>The Language of the Federal Copyright Act Contains an Ambiguity</w:t>
      </w:r>
      <w:r w:rsidR="009C38F1" w:rsidRPr="00D9056A">
        <w:rPr>
          <w:b/>
          <w:i/>
        </w:rPr>
        <w:t xml:space="preserve"> by Omission</w:t>
      </w:r>
      <w:r w:rsidRPr="00D9056A">
        <w:rPr>
          <w:b/>
          <w:i/>
        </w:rPr>
        <w:t>.</w:t>
      </w:r>
    </w:p>
    <w:p w14:paraId="2884D56B" w14:textId="77777777" w:rsidR="00D9056A" w:rsidRPr="00D9056A" w:rsidRDefault="00D9056A" w:rsidP="00D9056A">
      <w:pPr>
        <w:pStyle w:val="NoSpacing"/>
        <w:ind w:left="1080"/>
        <w:rPr>
          <w:b/>
          <w:i/>
        </w:rPr>
      </w:pPr>
    </w:p>
    <w:p w14:paraId="0AFC2897" w14:textId="77777777" w:rsidR="00016FFC" w:rsidRDefault="00D9056A" w:rsidP="00D9056A">
      <w:pPr>
        <w:pStyle w:val="NoSpacing"/>
        <w:spacing w:line="480" w:lineRule="auto"/>
        <w:rPr>
          <w:rFonts w:eastAsia="Times New Roman"/>
          <w:szCs w:val="24"/>
        </w:rPr>
      </w:pPr>
      <w:r>
        <w:tab/>
      </w:r>
      <w:r w:rsidR="00183AE7">
        <w:t xml:space="preserve">The screenplay in question falls under the protections of the federal Copyright Act, codified in Chapter 17 of the United States Code. While the parties do not dispute that the screenplay </w:t>
      </w:r>
      <w:r w:rsidR="00094D00">
        <w:t>was commissioned</w:t>
      </w:r>
      <w:r w:rsidR="00183AE7">
        <w:t xml:space="preserve">, it is important to recognize what the Copyright Act itself considers a “work made for hire”. As is relevant to the facts, </w:t>
      </w:r>
      <w:r w:rsidR="00016FFC">
        <w:t xml:space="preserve">17 U.S.C. </w:t>
      </w:r>
      <w:r w:rsidR="00016FFC" w:rsidRPr="00001A8C">
        <w:rPr>
          <w:rFonts w:ascii="Calibri" w:hAnsi="Calibri" w:cs="Calibri"/>
        </w:rPr>
        <w:t>§</w:t>
      </w:r>
      <w:r w:rsidR="00016FFC">
        <w:t xml:space="preserve"> 101(2) defines the term as: “</w:t>
      </w:r>
      <w:r w:rsidR="00016FFC" w:rsidRPr="00C635D0">
        <w:rPr>
          <w:rFonts w:eastAsia="Times New Roman"/>
          <w:szCs w:val="24"/>
        </w:rPr>
        <w:t xml:space="preserve">a work specially ordered or commissioned for use </w:t>
      </w:r>
      <w:r w:rsidR="00183AE7">
        <w:rPr>
          <w:rFonts w:eastAsia="Times New Roman"/>
          <w:szCs w:val="24"/>
        </w:rPr>
        <w:t xml:space="preserve">[…] </w:t>
      </w:r>
      <w:r w:rsidR="00016FFC" w:rsidRPr="00C635D0">
        <w:rPr>
          <w:rFonts w:eastAsia="Times New Roman"/>
          <w:szCs w:val="24"/>
        </w:rPr>
        <w:t xml:space="preserve">as a part of a motion picture or other audiovisual work, </w:t>
      </w:r>
      <w:r w:rsidR="00016FFC">
        <w:rPr>
          <w:rFonts w:eastAsia="Times New Roman"/>
          <w:szCs w:val="24"/>
        </w:rPr>
        <w:t>[…]</w:t>
      </w:r>
      <w:r w:rsidR="00016FFC" w:rsidRPr="00C635D0">
        <w:rPr>
          <w:rFonts w:eastAsia="Times New Roman"/>
          <w:szCs w:val="24"/>
        </w:rPr>
        <w:t xml:space="preserve"> if the parties expressly agree in a written instrument signed by them that the work shall be c</w:t>
      </w:r>
      <w:r w:rsidR="00016FFC">
        <w:rPr>
          <w:rFonts w:eastAsia="Times New Roman"/>
          <w:szCs w:val="24"/>
        </w:rPr>
        <w:t>onsidered a work made for hire.”</w:t>
      </w:r>
    </w:p>
    <w:p w14:paraId="06ADDD9C" w14:textId="77777777" w:rsidR="00016FFC" w:rsidRDefault="00016FFC" w:rsidP="00D9056A">
      <w:pPr>
        <w:pStyle w:val="NoSpacing"/>
        <w:spacing w:line="480" w:lineRule="auto"/>
      </w:pPr>
      <w:r>
        <w:tab/>
      </w:r>
      <w:r w:rsidR="00183AE7">
        <w:t xml:space="preserve">Note that the </w:t>
      </w:r>
      <w:r>
        <w:t>requirement of a written and signed instrument</w:t>
      </w:r>
      <w:r w:rsidR="00183AE7">
        <w:t xml:space="preserve"> is central to the determination whether a work was made for hire</w:t>
      </w:r>
      <w:r>
        <w:t xml:space="preserve">. </w:t>
      </w:r>
      <w:r w:rsidR="00183AE7">
        <w:t xml:space="preserve">The Copyright Act also contains a provision specially governing the ownership of works made for hire. This is the </w:t>
      </w:r>
      <w:r>
        <w:t>statute immediately in question</w:t>
      </w:r>
      <w:r w:rsidR="00183AE7">
        <w:t xml:space="preserve"> –</w:t>
      </w:r>
      <w:r>
        <w:t xml:space="preserve"> 17 U.S.C. </w:t>
      </w:r>
      <w:r w:rsidRPr="00016FFC">
        <w:rPr>
          <w:rFonts w:ascii="Calibri" w:hAnsi="Calibri" w:cs="Calibri"/>
        </w:rPr>
        <w:t>§</w:t>
      </w:r>
      <w:r>
        <w:t xml:space="preserve"> 201(b)</w:t>
      </w:r>
      <w:r w:rsidR="00183AE7">
        <w:t>, which reads</w:t>
      </w:r>
      <w:r>
        <w:t xml:space="preserve">: </w:t>
      </w:r>
      <w:r>
        <w:tab/>
        <w:t>“In the case of a work made for hire, the employer or other person for whom the work was prepared is considered the author for purposes of this title, and, unless the parties have expressly agreed otherwise in a written instrument s</w:t>
      </w:r>
      <w:r w:rsidR="00E14325">
        <w:t xml:space="preserve">igned by them, owns all of the </w:t>
      </w:r>
      <w:r>
        <w:t>rights comprised in the copyright.”</w:t>
      </w:r>
    </w:p>
    <w:p w14:paraId="571B585A" w14:textId="77777777" w:rsidR="00AD02B1" w:rsidRDefault="00183AE7" w:rsidP="00D9056A">
      <w:pPr>
        <w:pStyle w:val="NoSpacing"/>
        <w:spacing w:line="480" w:lineRule="auto"/>
      </w:pPr>
      <w:r>
        <w:rPr>
          <w:b/>
        </w:rPr>
        <w:lastRenderedPageBreak/>
        <w:tab/>
      </w:r>
      <w:r w:rsidR="009A4650">
        <w:t>Plaintiff</w:t>
      </w:r>
      <w:r w:rsidR="00AD02B1">
        <w:t xml:space="preserve"> argue</w:t>
      </w:r>
      <w:r w:rsidR="009A4650">
        <w:t>s</w:t>
      </w:r>
      <w:r w:rsidR="00AD02B1">
        <w:t xml:space="preserve"> that this case is thus an open-and-shut issue of copyright infringement, given the plain language of both statutes. However, the issue Defendants </w:t>
      </w:r>
      <w:r w:rsidR="009C38F1">
        <w:t xml:space="preserve">raise </w:t>
      </w:r>
      <w:r w:rsidR="00AD02B1">
        <w:t>with these statutes is not that they are inherently unclear, but rather that a crucial provision is missing – the timing and sequence of the required written instrument.</w:t>
      </w:r>
    </w:p>
    <w:p w14:paraId="4F1954C1" w14:textId="77777777" w:rsidR="00055CA8" w:rsidRDefault="00AD02B1" w:rsidP="00D9056A">
      <w:pPr>
        <w:pStyle w:val="NoSpacing"/>
        <w:spacing w:line="480" w:lineRule="auto"/>
      </w:pPr>
      <w:r>
        <w:tab/>
      </w:r>
      <w:r w:rsidR="00781951">
        <w:t xml:space="preserve">Plaintiff and Defendant Lime had an oral agreement regarding the status of the screenplay, but the Copyright Act explicitly rests the creation of a valid work for hire on the existence of a writing signed by both parties. </w:t>
      </w:r>
      <w:r w:rsidR="00BA22D6">
        <w:t xml:space="preserve">It is worth noting that at the time Plaintiff claimed the screenplay as its own and registered it as such, this </w:t>
      </w:r>
      <w:r w:rsidR="00BA22D6" w:rsidRPr="00BA22D6">
        <w:rPr>
          <w:i/>
        </w:rPr>
        <w:t>mandatory</w:t>
      </w:r>
      <w:r w:rsidR="00BA22D6">
        <w:t xml:space="preserve"> written agreement had not </w:t>
      </w:r>
      <w:r w:rsidR="007A11B4">
        <w:t xml:space="preserve">yet </w:t>
      </w:r>
      <w:r w:rsidR="00BA22D6">
        <w:t>been creat</w:t>
      </w:r>
      <w:r w:rsidR="00390754">
        <w:t>ed or signed</w:t>
      </w:r>
      <w:r w:rsidR="00BA22D6">
        <w:t xml:space="preserve">. </w:t>
      </w:r>
      <w:r w:rsidR="00D84B3A">
        <w:t xml:space="preserve">Defendants </w:t>
      </w:r>
      <w:r w:rsidR="00BA22D6">
        <w:t>assert</w:t>
      </w:r>
      <w:r w:rsidR="00D84B3A">
        <w:t xml:space="preserve"> that this invalidates the determination that the screenplay was a work made for hire.</w:t>
      </w:r>
    </w:p>
    <w:p w14:paraId="19D544B6" w14:textId="77777777" w:rsidR="00781951" w:rsidRDefault="00504E11" w:rsidP="00D9056A">
      <w:pPr>
        <w:pStyle w:val="NoSpacing"/>
        <w:numPr>
          <w:ilvl w:val="0"/>
          <w:numId w:val="21"/>
        </w:numPr>
        <w:rPr>
          <w:b/>
          <w:i/>
        </w:rPr>
      </w:pPr>
      <w:r w:rsidRPr="00D9056A">
        <w:rPr>
          <w:b/>
          <w:i/>
        </w:rPr>
        <w:t>The Structure of the Copyright Act Shows That</w:t>
      </w:r>
      <w:r w:rsidR="00781951" w:rsidRPr="00D9056A">
        <w:rPr>
          <w:b/>
          <w:i/>
        </w:rPr>
        <w:t xml:space="preserve"> a Signed Writing </w:t>
      </w:r>
      <w:r w:rsidRPr="00D9056A">
        <w:rPr>
          <w:b/>
          <w:i/>
        </w:rPr>
        <w:t>Must Precede the Creation and Delivery of the Work Made for Hire</w:t>
      </w:r>
      <w:r w:rsidR="00781951" w:rsidRPr="00D9056A">
        <w:rPr>
          <w:b/>
          <w:i/>
        </w:rPr>
        <w:t>.</w:t>
      </w:r>
    </w:p>
    <w:p w14:paraId="25B9B05E" w14:textId="77777777" w:rsidR="00D9056A" w:rsidRPr="00D9056A" w:rsidRDefault="00D9056A" w:rsidP="00D9056A">
      <w:pPr>
        <w:pStyle w:val="NoSpacing"/>
        <w:ind w:left="1080"/>
        <w:rPr>
          <w:b/>
          <w:i/>
        </w:rPr>
      </w:pPr>
    </w:p>
    <w:p w14:paraId="5FAFCD1B" w14:textId="77777777" w:rsidR="00781951" w:rsidRDefault="00D84B3A" w:rsidP="00D9056A">
      <w:pPr>
        <w:pStyle w:val="NoSpacing"/>
        <w:spacing w:line="480" w:lineRule="auto"/>
      </w:pPr>
      <w:r>
        <w:tab/>
        <w:t xml:space="preserve">Beyond the text of 17 U.S.C. </w:t>
      </w:r>
      <w:r w:rsidRPr="00001A8C">
        <w:rPr>
          <w:rFonts w:ascii="Calibri" w:hAnsi="Calibri" w:cs="Calibri"/>
        </w:rPr>
        <w:t>§</w:t>
      </w:r>
      <w:r>
        <w:t xml:space="preserve"> 201(b), when the statute is read in the context of the larger Copyright Act, the argument that a work made for hire agreement can be written and signed at any time becomes nonsensical. This is because there is a different provision applying to sales and ownership transfe</w:t>
      </w:r>
      <w:r w:rsidR="00504E11">
        <w:t xml:space="preserve">rs after creation of the work, </w:t>
      </w:r>
      <w:r>
        <w:t>1</w:t>
      </w:r>
      <w:r w:rsidR="00781951">
        <w:t xml:space="preserve">7 U.S.C. </w:t>
      </w:r>
      <w:r w:rsidR="00781951" w:rsidRPr="00001A8C">
        <w:rPr>
          <w:rFonts w:ascii="Calibri" w:hAnsi="Calibri" w:cs="Calibri"/>
        </w:rPr>
        <w:t>§</w:t>
      </w:r>
      <w:r w:rsidR="00781951">
        <w:t xml:space="preserve"> 204</w:t>
      </w:r>
      <w:r w:rsidR="00E14325">
        <w:t>(a)</w:t>
      </w:r>
      <w:r>
        <w:t xml:space="preserve">. If a signed writing could be created at any time </w:t>
      </w:r>
      <w:r w:rsidR="00504E11">
        <w:t>to deem</w:t>
      </w:r>
      <w:r>
        <w:t xml:space="preserve"> a work </w:t>
      </w:r>
      <w:r w:rsidR="00504E11">
        <w:t xml:space="preserve">to be </w:t>
      </w:r>
      <w:r>
        <w:t xml:space="preserve">made for hire, there </w:t>
      </w:r>
      <w:r w:rsidR="00504E11">
        <w:t>is</w:t>
      </w:r>
      <w:r>
        <w:t xml:space="preserve"> no logic to having a second statute permitting the same under a different name.</w:t>
      </w:r>
      <w:r w:rsidR="00504E11">
        <w:t xml:space="preserve"> The transfer provisions would be </w:t>
      </w:r>
      <w:proofErr w:type="spellStart"/>
      <w:r w:rsidR="00504E11">
        <w:t>surplusage</w:t>
      </w:r>
      <w:proofErr w:type="spellEnd"/>
      <w:r w:rsidR="00504E11">
        <w:t>.</w:t>
      </w:r>
    </w:p>
    <w:p w14:paraId="765C5F2B" w14:textId="77777777" w:rsidR="00E14325" w:rsidRDefault="00E14325" w:rsidP="00D9056A">
      <w:pPr>
        <w:pStyle w:val="NoSpacing"/>
        <w:spacing w:line="480" w:lineRule="auto"/>
      </w:pPr>
      <w:r>
        <w:tab/>
        <w:t xml:space="preserve">17 U.S.C. </w:t>
      </w:r>
      <w:r w:rsidRPr="00001A8C">
        <w:rPr>
          <w:rFonts w:ascii="Calibri" w:hAnsi="Calibri" w:cs="Calibri"/>
        </w:rPr>
        <w:t>§</w:t>
      </w:r>
      <w:r>
        <w:t xml:space="preserve"> 204(a) reads: “</w:t>
      </w:r>
      <w:r w:rsidRPr="00E14325">
        <w:t>A transfer of copyright ownership, other than by operation of law, is not valid unless an instrument of conveyance, or a note or memorandum of the transfer, is in writing and signed by the owner of the rights conveyed or such owner's duly authorized agent.</w:t>
      </w:r>
      <w:r>
        <w:t xml:space="preserve">” All the transfer provision here </w:t>
      </w:r>
      <w:r w:rsidR="00DF70AD">
        <w:t>requires</w:t>
      </w:r>
      <w:r>
        <w:t xml:space="preserve"> is that </w:t>
      </w:r>
      <w:proofErr w:type="gramStart"/>
      <w:r>
        <w:t>a writing</w:t>
      </w:r>
      <w:proofErr w:type="gramEnd"/>
      <w:r>
        <w:t xml:space="preserve"> </w:t>
      </w:r>
      <w:r w:rsidR="00DF70AD">
        <w:t>must establish it as such, th</w:t>
      </w:r>
      <w:r w:rsidR="00A54BF8">
        <w:t xml:space="preserve">e same as a work made for hire. On its face, there is no real difference between the two provisions, and yet Congress would not have separated them unless there was a distinction to be made. </w:t>
      </w:r>
    </w:p>
    <w:p w14:paraId="50BBF712" w14:textId="77777777" w:rsidR="00A8007F" w:rsidRPr="00C94CDF" w:rsidRDefault="00A8007F" w:rsidP="00D9056A">
      <w:pPr>
        <w:pStyle w:val="NoSpacing"/>
        <w:spacing w:line="480" w:lineRule="auto"/>
      </w:pPr>
      <w:r>
        <w:lastRenderedPageBreak/>
        <w:tab/>
      </w:r>
      <w:r w:rsidR="00E14325">
        <w:t xml:space="preserve">Plaintiff argues that in a </w:t>
      </w:r>
      <w:r w:rsidR="00DF70AD">
        <w:t>neighboring</w:t>
      </w:r>
      <w:r w:rsidR="00E14325">
        <w:t xml:space="preserve"> provision</w:t>
      </w:r>
      <w:r>
        <w:t xml:space="preserve"> that handles termination of copyright</w:t>
      </w:r>
      <w:r w:rsidR="00DF70AD">
        <w:t xml:space="preserve">, 17 U.S.C. </w:t>
      </w:r>
      <w:r w:rsidR="00DF70AD" w:rsidRPr="00001A8C">
        <w:rPr>
          <w:rFonts w:ascii="Calibri" w:hAnsi="Calibri" w:cs="Calibri"/>
        </w:rPr>
        <w:t>§</w:t>
      </w:r>
      <w:r w:rsidR="00DF70AD">
        <w:t xml:space="preserve"> 203(a)</w:t>
      </w:r>
      <w:r w:rsidR="00E14325">
        <w:t xml:space="preserve">, works made for hire </w:t>
      </w:r>
      <w:r>
        <w:t xml:space="preserve">are excluded while </w:t>
      </w:r>
      <w:r w:rsidR="00DF70AD">
        <w:t>copyright transfers</w:t>
      </w:r>
      <w:r>
        <w:t xml:space="preserve"> are included, and </w:t>
      </w:r>
      <w:r w:rsidR="00DF70AD">
        <w:t xml:space="preserve">as such there would not be </w:t>
      </w:r>
      <w:proofErr w:type="spellStart"/>
      <w:r w:rsidR="00DF70AD">
        <w:t>surplusage</w:t>
      </w:r>
      <w:proofErr w:type="spellEnd"/>
      <w:r w:rsidR="00DF70AD">
        <w:t xml:space="preserve"> under its proposed reading. </w:t>
      </w:r>
      <w:r w:rsidR="00A54BF8">
        <w:t xml:space="preserve">But why would Congress make an important and explicit distinction between a work made for hire and a copyright transfer in </w:t>
      </w:r>
      <w:r w:rsidR="00A54BF8" w:rsidRPr="00001A8C">
        <w:rPr>
          <w:rFonts w:ascii="Calibri" w:hAnsi="Calibri" w:cs="Calibri"/>
        </w:rPr>
        <w:t>§</w:t>
      </w:r>
      <w:r w:rsidR="00A54BF8">
        <w:t xml:space="preserve"> 203(a) if the requirements and creation timeframe for either are identical? Furthermore</w:t>
      </w:r>
      <w:r w:rsidR="00DF70AD">
        <w:t xml:space="preserve">, </w:t>
      </w:r>
      <w:r>
        <w:t>t</w:t>
      </w:r>
      <w:r w:rsidR="00BA22D6">
        <w:t>h</w:t>
      </w:r>
      <w:r>
        <w:t xml:space="preserve">e fact that the two modes of alienation differ in this regard also </w:t>
      </w:r>
      <w:r w:rsidR="00BA22D6">
        <w:t xml:space="preserve">supports making </w:t>
      </w:r>
      <w:r>
        <w:t>work made for hire</w:t>
      </w:r>
      <w:r w:rsidR="00BA22D6">
        <w:t xml:space="preserve"> </w:t>
      </w:r>
      <w:r>
        <w:t>contracts</w:t>
      </w:r>
      <w:r w:rsidR="00BA22D6">
        <w:t xml:space="preserve"> mandatory before the </w:t>
      </w:r>
      <w:r>
        <w:t>work</w:t>
      </w:r>
      <w:r w:rsidR="00BA22D6">
        <w:t xml:space="preserve"> is created. If a </w:t>
      </w:r>
      <w:r>
        <w:t xml:space="preserve">work made for hire writing can be signed at any time, this could result in individuals </w:t>
      </w:r>
      <w:r w:rsidR="00A54BF8">
        <w:t>easily</w:t>
      </w:r>
      <w:r>
        <w:t xml:space="preserve"> exploiting this distinction to circumvent </w:t>
      </w:r>
      <w:r w:rsidR="00A54BF8" w:rsidRPr="00001A8C">
        <w:rPr>
          <w:rFonts w:ascii="Calibri" w:hAnsi="Calibri" w:cs="Calibri"/>
        </w:rPr>
        <w:t>§</w:t>
      </w:r>
      <w:r w:rsidR="00A54BF8">
        <w:t xml:space="preserve"> 203(a)</w:t>
      </w:r>
      <w:r>
        <w:t>.</w:t>
      </w:r>
    </w:p>
    <w:p w14:paraId="56025085" w14:textId="77777777" w:rsidR="00781951" w:rsidRPr="00D9056A" w:rsidRDefault="00781951" w:rsidP="00D9056A">
      <w:pPr>
        <w:pStyle w:val="NoSpacing"/>
        <w:numPr>
          <w:ilvl w:val="0"/>
          <w:numId w:val="21"/>
        </w:numPr>
        <w:rPr>
          <w:b/>
          <w:i/>
        </w:rPr>
      </w:pPr>
      <w:r w:rsidRPr="00D9056A">
        <w:rPr>
          <w:b/>
          <w:i/>
        </w:rPr>
        <w:t>The History and Purpose of the “Works Made for Hire” Section of the Copyright Act Shows That Works for Hire Must Be Preceded with a Signed Writing.</w:t>
      </w:r>
    </w:p>
    <w:p w14:paraId="31D7D622" w14:textId="77777777" w:rsidR="0099128E" w:rsidRDefault="000271D6" w:rsidP="000271D6">
      <w:pPr>
        <w:pStyle w:val="ListParagraph"/>
        <w:autoSpaceDE w:val="0"/>
        <w:autoSpaceDN w:val="0"/>
        <w:adjustRightInd w:val="0"/>
        <w:spacing w:before="240"/>
        <w:ind w:left="0"/>
        <w:rPr>
          <w:rFonts w:eastAsia="Times New Roman"/>
          <w:szCs w:val="24"/>
        </w:rPr>
      </w:pPr>
      <w:r>
        <w:tab/>
        <w:t>The Copyright Act, what might seem a mundane topic, was actually subject to a number of</w:t>
      </w:r>
      <w:r w:rsidR="00504E11">
        <w:t xml:space="preserve"> drafts</w:t>
      </w:r>
      <w:r>
        <w:t xml:space="preserve">, floor debates, and House and Senate Reports prior to being </w:t>
      </w:r>
      <w:r w:rsidR="00504E11">
        <w:t>revised</w:t>
      </w:r>
      <w:r>
        <w:t xml:space="preserve"> and passed. An extensive legislative history supports Defendants’ contention that the signed writing must precede the completion or delivery of the product. Th</w:t>
      </w:r>
      <w:r w:rsidR="00094D00">
        <w:t>e United States Code Annotated</w:t>
      </w:r>
      <w:r>
        <w:t xml:space="preserve"> at </w:t>
      </w:r>
      <w:r w:rsidRPr="00001A8C">
        <w:rPr>
          <w:rFonts w:ascii="Calibri" w:hAnsi="Calibri" w:cs="Calibri"/>
        </w:rPr>
        <w:t>§</w:t>
      </w:r>
      <w:r>
        <w:t>201(b) make</w:t>
      </w:r>
      <w:r w:rsidR="00094D00">
        <w:t>s</w:t>
      </w:r>
      <w:r>
        <w:t xml:space="preserve"> special note that “</w:t>
      </w:r>
      <w:r>
        <w:rPr>
          <w:rFonts w:eastAsia="Times New Roman"/>
          <w:szCs w:val="24"/>
        </w:rPr>
        <w:t>[t]</w:t>
      </w:r>
      <w:r w:rsidRPr="00844DDC">
        <w:rPr>
          <w:rFonts w:eastAsia="Times New Roman"/>
          <w:szCs w:val="24"/>
        </w:rPr>
        <w:t xml:space="preserve">he work-made-for-hire provisions of this bill represent a </w:t>
      </w:r>
      <w:r w:rsidRPr="002B5A5E">
        <w:rPr>
          <w:szCs w:val="24"/>
        </w:rPr>
        <w:t>carefully balanced compromise”, and that while the solution is workable, many proposed</w:t>
      </w:r>
      <w:r>
        <w:rPr>
          <w:rFonts w:eastAsia="Times New Roman"/>
          <w:szCs w:val="24"/>
        </w:rPr>
        <w:t xml:space="preserve"> additions on both sides had to be redacted. This tremendous unrest ultimately resulted in the ambiguity and confusion that the Court sees today.</w:t>
      </w:r>
    </w:p>
    <w:p w14:paraId="403EABB2" w14:textId="77777777" w:rsidR="00781951" w:rsidRDefault="000271D6" w:rsidP="00507D94">
      <w:pPr>
        <w:pStyle w:val="ListParagraph"/>
        <w:autoSpaceDE w:val="0"/>
        <w:autoSpaceDN w:val="0"/>
        <w:adjustRightInd w:val="0"/>
        <w:spacing w:before="240"/>
        <w:ind w:left="0"/>
        <w:rPr>
          <w:szCs w:val="24"/>
        </w:rPr>
      </w:pPr>
      <w:r>
        <w:rPr>
          <w:rFonts w:eastAsia="Times New Roman"/>
          <w:szCs w:val="24"/>
        </w:rPr>
        <w:tab/>
      </w:r>
      <w:r w:rsidR="00507D94">
        <w:rPr>
          <w:rFonts w:eastAsia="Times New Roman"/>
          <w:szCs w:val="24"/>
        </w:rPr>
        <w:t xml:space="preserve">The original Copyright Act </w:t>
      </w:r>
      <w:r w:rsidR="00976AF9">
        <w:rPr>
          <w:rFonts w:eastAsia="Times New Roman"/>
          <w:szCs w:val="24"/>
        </w:rPr>
        <w:t xml:space="preserve">Revision </w:t>
      </w:r>
      <w:r w:rsidR="00507D94">
        <w:rPr>
          <w:rFonts w:eastAsia="Times New Roman"/>
          <w:szCs w:val="24"/>
        </w:rPr>
        <w:t>was pr</w:t>
      </w:r>
      <w:r w:rsidR="002B5A5E">
        <w:rPr>
          <w:rFonts w:eastAsia="Times New Roman"/>
          <w:szCs w:val="24"/>
        </w:rPr>
        <w:t>oposed, and got quite far in Congress</w:t>
      </w:r>
      <w:r w:rsidR="00507D94">
        <w:rPr>
          <w:rFonts w:eastAsia="Times New Roman"/>
          <w:szCs w:val="24"/>
        </w:rPr>
        <w:t xml:space="preserve">, in 1964. However, it was shelved for 12 years before it was adopted in 1976. Yet the </w:t>
      </w:r>
      <w:r w:rsidR="00781951" w:rsidRPr="001C2618">
        <w:rPr>
          <w:szCs w:val="24"/>
        </w:rPr>
        <w:t xml:space="preserve">Second Supplementary Register's Report on the General Revision of the U.S. Copyright Law (1975) </w:t>
      </w:r>
      <w:r w:rsidR="00507D94" w:rsidRPr="00507D94">
        <w:rPr>
          <w:rFonts w:ascii="Calibri" w:hAnsi="Calibri" w:cs="Calibri"/>
          <w:szCs w:val="24"/>
        </w:rPr>
        <w:t>§</w:t>
      </w:r>
      <w:r w:rsidR="00507D94">
        <w:rPr>
          <w:szCs w:val="24"/>
        </w:rPr>
        <w:t xml:space="preserve"> 301 suggests that very little was ultimately changed </w:t>
      </w:r>
      <w:r w:rsidR="002B5A5E">
        <w:rPr>
          <w:szCs w:val="24"/>
        </w:rPr>
        <w:t>during or after</w:t>
      </w:r>
      <w:r w:rsidR="00507D94">
        <w:rPr>
          <w:szCs w:val="24"/>
        </w:rPr>
        <w:t xml:space="preserve"> this long gap, since </w:t>
      </w:r>
      <w:r w:rsidR="00781951">
        <w:rPr>
          <w:szCs w:val="24"/>
        </w:rPr>
        <w:t>“</w:t>
      </w:r>
      <w:r w:rsidR="00507D94">
        <w:rPr>
          <w:szCs w:val="24"/>
        </w:rPr>
        <w:t>a</w:t>
      </w:r>
      <w:r w:rsidR="00781951" w:rsidRPr="00391822">
        <w:rPr>
          <w:szCs w:val="24"/>
        </w:rPr>
        <w:t xml:space="preserve">lmost every provision in </w:t>
      </w:r>
      <w:r w:rsidR="00781951" w:rsidRPr="00391822">
        <w:rPr>
          <w:i/>
          <w:iCs/>
          <w:szCs w:val="24"/>
        </w:rPr>
        <w:t xml:space="preserve">Chapter II </w:t>
      </w:r>
      <w:r w:rsidR="00781951" w:rsidRPr="00391822">
        <w:rPr>
          <w:szCs w:val="24"/>
        </w:rPr>
        <w:t>represents a compromise of one sort or</w:t>
      </w:r>
      <w:r w:rsidR="00781951">
        <w:rPr>
          <w:szCs w:val="24"/>
        </w:rPr>
        <w:t xml:space="preserve"> </w:t>
      </w:r>
      <w:r w:rsidR="00781951" w:rsidRPr="00391822">
        <w:rPr>
          <w:szCs w:val="24"/>
        </w:rPr>
        <w:t xml:space="preserve">another, and those involving works made for hire and termination of transfers were extraordinarily difficult to </w:t>
      </w:r>
      <w:r w:rsidR="00781951" w:rsidRPr="00391822">
        <w:rPr>
          <w:szCs w:val="24"/>
        </w:rPr>
        <w:lastRenderedPageBreak/>
        <w:t>achieve. […] the subcommittee produced a chapter on</w:t>
      </w:r>
      <w:r w:rsidR="00781951">
        <w:rPr>
          <w:szCs w:val="24"/>
        </w:rPr>
        <w:t xml:space="preserve"> </w:t>
      </w:r>
      <w:r w:rsidR="00781951" w:rsidRPr="00391822">
        <w:rPr>
          <w:szCs w:val="24"/>
        </w:rPr>
        <w:t xml:space="preserve">copyright ownership and transfer together with a definitive legislative report, </w:t>
      </w:r>
      <w:r w:rsidR="00781951" w:rsidRPr="00A54BF8">
        <w:rPr>
          <w:szCs w:val="24"/>
        </w:rPr>
        <w:t>that have remained</w:t>
      </w:r>
      <w:r w:rsidR="00781951" w:rsidRPr="002B5A5E">
        <w:rPr>
          <w:i/>
          <w:szCs w:val="24"/>
        </w:rPr>
        <w:t xml:space="preserve"> unchanged and virtually unchallenged for nearly ten years</w:t>
      </w:r>
      <w:r w:rsidR="00781951">
        <w:rPr>
          <w:szCs w:val="24"/>
        </w:rPr>
        <w:t>”</w:t>
      </w:r>
      <w:r w:rsidR="002B5A5E">
        <w:rPr>
          <w:szCs w:val="24"/>
        </w:rPr>
        <w:t xml:space="preserve"> (emphasis added). </w:t>
      </w:r>
    </w:p>
    <w:p w14:paraId="3F4DA13C" w14:textId="77777777" w:rsidR="00617AC2" w:rsidRDefault="002B5A5E" w:rsidP="00507D94">
      <w:pPr>
        <w:pStyle w:val="ListParagraph"/>
        <w:autoSpaceDE w:val="0"/>
        <w:autoSpaceDN w:val="0"/>
        <w:adjustRightInd w:val="0"/>
        <w:spacing w:before="240"/>
        <w:ind w:left="0"/>
        <w:rPr>
          <w:szCs w:val="24"/>
        </w:rPr>
      </w:pPr>
      <w:r>
        <w:rPr>
          <w:szCs w:val="24"/>
        </w:rPr>
        <w:tab/>
        <w:t xml:space="preserve">If the original 1964 report differs little from the final result in 1976, equal deference should be granted to the statements of Congressional intent from the </w:t>
      </w:r>
      <w:r w:rsidR="00976AF9">
        <w:rPr>
          <w:szCs w:val="24"/>
        </w:rPr>
        <w:t>1964 reports. This becomes critical when the interpretation of the Copyright Registry itself is examined.</w:t>
      </w:r>
    </w:p>
    <w:p w14:paraId="202F3EE9" w14:textId="77777777" w:rsidR="00955493" w:rsidRDefault="00976AF9" w:rsidP="00D9056A">
      <w:pPr>
        <w:pStyle w:val="NoSpacing"/>
        <w:numPr>
          <w:ilvl w:val="0"/>
          <w:numId w:val="21"/>
        </w:numPr>
        <w:rPr>
          <w:b/>
          <w:i/>
        </w:rPr>
      </w:pPr>
      <w:r w:rsidRPr="00D9056A">
        <w:rPr>
          <w:b/>
          <w:i/>
        </w:rPr>
        <w:t>The Original Statements of the Copyright Regist</w:t>
      </w:r>
      <w:r w:rsidR="006D44B8" w:rsidRPr="00D9056A">
        <w:rPr>
          <w:b/>
          <w:i/>
        </w:rPr>
        <w:t>e</w:t>
      </w:r>
      <w:r w:rsidRPr="00D9056A">
        <w:rPr>
          <w:b/>
          <w:i/>
        </w:rPr>
        <w:t>r Indicate a Strong Preference for Written Instruments Preceding Creation and Delivery.</w:t>
      </w:r>
    </w:p>
    <w:p w14:paraId="4F8D2864" w14:textId="77777777" w:rsidR="00D9056A" w:rsidRPr="00D9056A" w:rsidRDefault="00D9056A" w:rsidP="00D9056A">
      <w:pPr>
        <w:pStyle w:val="NoSpacing"/>
        <w:ind w:left="1080"/>
        <w:rPr>
          <w:b/>
          <w:i/>
        </w:rPr>
      </w:pPr>
    </w:p>
    <w:p w14:paraId="7553638F" w14:textId="77777777" w:rsidR="00504E11" w:rsidRDefault="006D44B8" w:rsidP="00D9056A">
      <w:pPr>
        <w:pStyle w:val="NoSpacing"/>
        <w:spacing w:line="480" w:lineRule="auto"/>
        <w:rPr>
          <w:szCs w:val="24"/>
        </w:rPr>
      </w:pPr>
      <w:r>
        <w:tab/>
        <w:t>The</w:t>
      </w:r>
      <w:r w:rsidR="00240672">
        <w:t xml:space="preserve"> United States</w:t>
      </w:r>
      <w:r w:rsidR="0090037C">
        <w:t xml:space="preserve"> Register of Copyrights</w:t>
      </w:r>
      <w:r>
        <w:t xml:space="preserve"> herself</w:t>
      </w:r>
      <w:r w:rsidR="0090037C">
        <w:t xml:space="preserve">, </w:t>
      </w:r>
      <w:r w:rsidR="00955493">
        <w:t>Barbara Ringer</w:t>
      </w:r>
      <w:r w:rsidR="0090037C">
        <w:t xml:space="preserve">, made a crucial statement </w:t>
      </w:r>
      <w:r w:rsidR="00240672">
        <w:t>before Congress that</w:t>
      </w:r>
      <w:r>
        <w:t xml:space="preserve"> could not be clearer on the issue of whether </w:t>
      </w:r>
      <w:proofErr w:type="gramStart"/>
      <w:r>
        <w:t>a writing</w:t>
      </w:r>
      <w:proofErr w:type="gramEnd"/>
      <w:r>
        <w:t xml:space="preserve"> must precede creation. She stated, </w:t>
      </w:r>
      <w:r w:rsidR="00955493" w:rsidRPr="00347D68">
        <w:rPr>
          <w:szCs w:val="24"/>
        </w:rPr>
        <w:t>“It would not be considered a “work made for hire” if the contract were signed later on – after the work was written, for example.”</w:t>
      </w:r>
      <w:r w:rsidR="000F4DCD">
        <w:rPr>
          <w:szCs w:val="24"/>
        </w:rPr>
        <w:t xml:space="preserve"> (</w:t>
      </w:r>
      <w:proofErr w:type="spellStart"/>
      <w:r w:rsidR="00504E11" w:rsidRPr="008B45A3">
        <w:rPr>
          <w:color w:val="000000"/>
          <w:szCs w:val="24"/>
        </w:rPr>
        <w:t>H.R.Rep</w:t>
      </w:r>
      <w:proofErr w:type="spellEnd"/>
      <w:r w:rsidR="00504E11" w:rsidRPr="008B45A3">
        <w:rPr>
          <w:color w:val="000000"/>
          <w:szCs w:val="24"/>
        </w:rPr>
        <w:t xml:space="preserve">. </w:t>
      </w:r>
      <w:proofErr w:type="gramStart"/>
      <w:r w:rsidR="00504E11" w:rsidRPr="008B45A3">
        <w:rPr>
          <w:color w:val="000000"/>
          <w:szCs w:val="24"/>
        </w:rPr>
        <w:t>no</w:t>
      </w:r>
      <w:proofErr w:type="gramEnd"/>
      <w:r w:rsidR="00504E11" w:rsidRPr="008B45A3">
        <w:rPr>
          <w:color w:val="000000"/>
          <w:szCs w:val="24"/>
        </w:rPr>
        <w:t xml:space="preserve">. 51–374, 89th Cong., 1st Sess., Part 5, </w:t>
      </w:r>
      <w:r w:rsidR="00504E11" w:rsidRPr="008B45A3">
        <w:rPr>
          <w:i/>
          <w:iCs/>
          <w:color w:val="000000"/>
          <w:szCs w:val="24"/>
        </w:rPr>
        <w:t>1964 Revision Bill with Discussion and Comments,</w:t>
      </w:r>
      <w:r w:rsidR="00504E11">
        <w:rPr>
          <w:color w:val="000000"/>
          <w:szCs w:val="24"/>
        </w:rPr>
        <w:t xml:space="preserve"> at 145 (1965))</w:t>
      </w:r>
      <w:r w:rsidR="00504E11" w:rsidRPr="008B45A3">
        <w:rPr>
          <w:color w:val="000000"/>
          <w:szCs w:val="24"/>
        </w:rPr>
        <w:t>.</w:t>
      </w:r>
    </w:p>
    <w:p w14:paraId="1B1F5FFC" w14:textId="77777777" w:rsidR="00976AF9" w:rsidRDefault="006D44B8" w:rsidP="00D9056A">
      <w:pPr>
        <w:pStyle w:val="NoSpacing"/>
        <w:spacing w:line="480" w:lineRule="auto"/>
        <w:rPr>
          <w:szCs w:val="24"/>
        </w:rPr>
      </w:pPr>
      <w:r>
        <w:rPr>
          <w:szCs w:val="24"/>
        </w:rPr>
        <w:tab/>
      </w:r>
      <w:r w:rsidR="00976AF9">
        <w:rPr>
          <w:szCs w:val="24"/>
        </w:rPr>
        <w:t>It is true that Ringer’s statement was ultimately not codified</w:t>
      </w:r>
      <w:r w:rsidR="000F4DCD">
        <w:rPr>
          <w:szCs w:val="24"/>
        </w:rPr>
        <w:t xml:space="preserve">, and she faced some opposition at the </w:t>
      </w:r>
      <w:r w:rsidR="00240672">
        <w:rPr>
          <w:szCs w:val="24"/>
        </w:rPr>
        <w:t>meeting</w:t>
      </w:r>
      <w:r w:rsidR="00976AF9">
        <w:rPr>
          <w:szCs w:val="24"/>
        </w:rPr>
        <w:t xml:space="preserve">. Nevertheless, </w:t>
      </w:r>
      <w:r>
        <w:rPr>
          <w:szCs w:val="24"/>
        </w:rPr>
        <w:t xml:space="preserve">this is a clear example of </w:t>
      </w:r>
      <w:r w:rsidR="000F4DCD">
        <w:rPr>
          <w:szCs w:val="24"/>
        </w:rPr>
        <w:t>explicit statements necessarily being stricken for the sake of compromise</w:t>
      </w:r>
      <w:r w:rsidR="00504E11">
        <w:rPr>
          <w:szCs w:val="24"/>
        </w:rPr>
        <w:t>, but firmly supported in the subtext and purpose of the Act</w:t>
      </w:r>
      <w:r w:rsidR="000F4DCD">
        <w:rPr>
          <w:szCs w:val="24"/>
        </w:rPr>
        <w:t xml:space="preserve">. A driving force in the 1964 and 1976 revisions alike, Ringer played a significant role in negotiating and drafting the revisions, even receiving a Presidential Award for her work </w:t>
      </w:r>
      <w:r w:rsidR="00504E11">
        <w:rPr>
          <w:szCs w:val="24"/>
        </w:rPr>
        <w:t>on the 1964 and 1976 revisions</w:t>
      </w:r>
      <w:r w:rsidR="00EA151D">
        <w:rPr>
          <w:rStyle w:val="FootnoteReference"/>
          <w:szCs w:val="24"/>
        </w:rPr>
        <w:footnoteReference w:id="1"/>
      </w:r>
      <w:r w:rsidR="000F4DCD">
        <w:rPr>
          <w:szCs w:val="24"/>
        </w:rPr>
        <w:t>. If any individual is worth heeding above all others in issues of ambiguity, it is surely Barbara Ringer.</w:t>
      </w:r>
    </w:p>
    <w:p w14:paraId="1DB203EA" w14:textId="77777777" w:rsidR="00F33BCB" w:rsidRPr="00997E4E" w:rsidRDefault="00F33BCB" w:rsidP="00D9056A">
      <w:pPr>
        <w:pStyle w:val="NoSpacing"/>
        <w:spacing w:line="480" w:lineRule="auto"/>
      </w:pPr>
      <w:r>
        <w:rPr>
          <w:szCs w:val="24"/>
        </w:rPr>
        <w:tab/>
      </w:r>
      <w:r w:rsidR="00587DCF">
        <w:rPr>
          <w:szCs w:val="24"/>
        </w:rPr>
        <w:t>Indeed, d</w:t>
      </w:r>
      <w:r>
        <w:rPr>
          <w:szCs w:val="24"/>
        </w:rPr>
        <w:t xml:space="preserve">eference to </w:t>
      </w:r>
      <w:r w:rsidR="00587DCF">
        <w:rPr>
          <w:szCs w:val="24"/>
        </w:rPr>
        <w:t>the urgings of Congressional</w:t>
      </w:r>
      <w:r>
        <w:rPr>
          <w:szCs w:val="24"/>
        </w:rPr>
        <w:t xml:space="preserve"> agencies has been a long-standing tradition recently reaffirmed by the Supreme Court in </w:t>
      </w:r>
      <w:r w:rsidRPr="00587DCF">
        <w:rPr>
          <w:i/>
          <w:szCs w:val="24"/>
        </w:rPr>
        <w:t>U.S.</w:t>
      </w:r>
      <w:r>
        <w:rPr>
          <w:szCs w:val="24"/>
        </w:rPr>
        <w:t xml:space="preserve"> v. </w:t>
      </w:r>
      <w:r w:rsidRPr="00587DCF">
        <w:rPr>
          <w:i/>
          <w:szCs w:val="24"/>
        </w:rPr>
        <w:t>Mead Corp</w:t>
      </w:r>
      <w:r>
        <w:rPr>
          <w:szCs w:val="24"/>
        </w:rPr>
        <w:t>., 533 U.S. 218</w:t>
      </w:r>
      <w:r w:rsidR="00587DCF">
        <w:rPr>
          <w:szCs w:val="24"/>
        </w:rPr>
        <w:t xml:space="preserve"> (2001). Quoting from the historic </w:t>
      </w:r>
      <w:r w:rsidR="00587DCF" w:rsidRPr="00587DCF">
        <w:rPr>
          <w:i/>
          <w:szCs w:val="24"/>
        </w:rPr>
        <w:t>Skidmore</w:t>
      </w:r>
      <w:r w:rsidR="00587DCF">
        <w:rPr>
          <w:szCs w:val="24"/>
        </w:rPr>
        <w:t xml:space="preserve"> v. </w:t>
      </w:r>
      <w:r w:rsidR="00587DCF" w:rsidRPr="00587DCF">
        <w:rPr>
          <w:i/>
          <w:szCs w:val="24"/>
        </w:rPr>
        <w:t>Swift &amp; Co</w:t>
      </w:r>
      <w:r w:rsidR="00587DCF">
        <w:rPr>
          <w:szCs w:val="24"/>
        </w:rPr>
        <w:t xml:space="preserve">., 323 U.S. 134 (1944), the court iterated that </w:t>
      </w:r>
      <w:r>
        <w:lastRenderedPageBreak/>
        <w:t xml:space="preserve">“an agency's interpretation may merit some </w:t>
      </w:r>
      <w:r>
        <w:rPr>
          <w:rStyle w:val="cosearchterm"/>
        </w:rPr>
        <w:t>deference</w:t>
      </w:r>
      <w:r>
        <w:t xml:space="preserve"> whatever its form, given the “specialized experience and broader investigations and information” available t</w:t>
      </w:r>
      <w:r w:rsidRPr="00587DCF">
        <w:t xml:space="preserve">o the agency, </w:t>
      </w:r>
      <w:hyperlink r:id="rId10" w:history="1">
        <w:r w:rsidR="00587DCF" w:rsidRPr="00587DCF">
          <w:rPr>
            <w:rStyle w:val="Hyperlink"/>
            <w:i/>
            <w:color w:val="auto"/>
            <w:u w:val="none"/>
          </w:rPr>
          <w:t>id</w:t>
        </w:r>
        <w:r w:rsidR="00587DCF" w:rsidRPr="00587DCF">
          <w:rPr>
            <w:rStyle w:val="Hyperlink"/>
            <w:color w:val="auto"/>
            <w:u w:val="none"/>
          </w:rPr>
          <w:t xml:space="preserve">. </w:t>
        </w:r>
        <w:proofErr w:type="gramStart"/>
        <w:r w:rsidRPr="00587DCF">
          <w:rPr>
            <w:rStyle w:val="Hyperlink"/>
            <w:color w:val="auto"/>
            <w:u w:val="none"/>
          </w:rPr>
          <w:t>at</w:t>
        </w:r>
        <w:proofErr w:type="gramEnd"/>
        <w:r w:rsidRPr="00587DCF">
          <w:rPr>
            <w:rStyle w:val="Hyperlink"/>
            <w:color w:val="auto"/>
            <w:u w:val="none"/>
          </w:rPr>
          <w:t xml:space="preserve"> 139,</w:t>
        </w:r>
      </w:hyperlink>
      <w:r w:rsidRPr="00587DCF">
        <w:t xml:space="preserve"> and given the value of uniformity in its administrative and judicial understandings of what a national law requires, </w:t>
      </w:r>
      <w:hyperlink r:id="rId11" w:history="1">
        <w:r w:rsidRPr="00587DCF">
          <w:rPr>
            <w:rStyle w:val="Emphasis"/>
          </w:rPr>
          <w:t>id.,</w:t>
        </w:r>
        <w:r w:rsidR="00587DCF" w:rsidRPr="00587DCF">
          <w:rPr>
            <w:rStyle w:val="Hyperlink"/>
            <w:color w:val="auto"/>
            <w:u w:val="none"/>
          </w:rPr>
          <w:t xml:space="preserve"> at 140</w:t>
        </w:r>
        <w:r w:rsidRPr="00587DCF">
          <w:rPr>
            <w:rStyle w:val="Hyperlink"/>
            <w:color w:val="auto"/>
            <w:u w:val="none"/>
          </w:rPr>
          <w:t>.</w:t>
        </w:r>
      </w:hyperlink>
      <w:r w:rsidR="00587DCF">
        <w:t xml:space="preserve">” </w:t>
      </w:r>
      <w:r w:rsidR="002048DE">
        <w:t xml:space="preserve">Thus, while Barbara Ringer’s statements were not explicitly codified, in interpreting this statutory ambiguity, her clear preference should carry some weight. </w:t>
      </w:r>
    </w:p>
    <w:p w14:paraId="514CF8C8" w14:textId="77777777" w:rsidR="00976AF9" w:rsidRDefault="00976AF9" w:rsidP="00D9056A">
      <w:pPr>
        <w:pStyle w:val="NoSpacing"/>
        <w:numPr>
          <w:ilvl w:val="0"/>
          <w:numId w:val="21"/>
        </w:numPr>
        <w:rPr>
          <w:b/>
          <w:i/>
        </w:rPr>
      </w:pPr>
      <w:r w:rsidRPr="00D9056A">
        <w:rPr>
          <w:b/>
          <w:i/>
        </w:rPr>
        <w:t>In Times of Doubt, Congressional Reports Show a Clear Policy Preference That Employers, Not Authors, Bear the Risk of Mistake.</w:t>
      </w:r>
    </w:p>
    <w:p w14:paraId="10F0E328" w14:textId="77777777" w:rsidR="007D4768" w:rsidRPr="00D9056A" w:rsidRDefault="007D4768" w:rsidP="007D4768">
      <w:pPr>
        <w:pStyle w:val="NoSpacing"/>
        <w:ind w:left="1080"/>
        <w:rPr>
          <w:b/>
          <w:i/>
        </w:rPr>
      </w:pPr>
    </w:p>
    <w:p w14:paraId="0447287D" w14:textId="77777777" w:rsidR="008018FD" w:rsidRDefault="00976AF9" w:rsidP="00D9056A">
      <w:pPr>
        <w:pStyle w:val="NoSpacing"/>
        <w:spacing w:line="480" w:lineRule="auto"/>
      </w:pPr>
      <w:r>
        <w:tab/>
        <w:t xml:space="preserve">The very point of the works made for hire provision in the Copyright Act was </w:t>
      </w:r>
      <w:r>
        <w:rPr>
          <w:color w:val="000000"/>
        </w:rPr>
        <w:t>“</w:t>
      </w:r>
      <w:r w:rsidRPr="008B45A3">
        <w:rPr>
          <w:color w:val="000000"/>
        </w:rPr>
        <w:t>to make ownership of intellectual property rights clear and definite.</w:t>
      </w:r>
      <w:r>
        <w:rPr>
          <w:color w:val="000000"/>
        </w:rPr>
        <w:t>”</w:t>
      </w:r>
      <w:r w:rsidRPr="008B45A3">
        <w:rPr>
          <w:color w:val="000000"/>
        </w:rPr>
        <w:t xml:space="preserve"> </w:t>
      </w:r>
      <w:hyperlink r:id="rId12" w:history="1">
        <w:r w:rsidRPr="00F63681">
          <w:t>17 U.S.C.A. § 101</w:t>
        </w:r>
      </w:hyperlink>
      <w:r w:rsidRPr="00F63681">
        <w:t>(2).</w:t>
      </w:r>
      <w:r>
        <w:t xml:space="preserve"> To hold that a work made for hire agreement can be signed at any time, even after the creation and delivery of the work, is to undermine this goal by increasing the opportunities for error and confusion. </w:t>
      </w:r>
      <w:r w:rsidR="008018FD">
        <w:t xml:space="preserve">Congress has also shown sympathy for the potential for mistake </w:t>
      </w:r>
      <w:r w:rsidR="00264749">
        <w:t>by raising an important practical issue of how the common author is to interpret and understand the Copyright Act.</w:t>
      </w:r>
    </w:p>
    <w:p w14:paraId="38E8E44E" w14:textId="77777777" w:rsidR="00264749" w:rsidRPr="00951FD9" w:rsidRDefault="006D44B8" w:rsidP="00D9056A">
      <w:pPr>
        <w:pStyle w:val="NoSpacing"/>
        <w:spacing w:line="480" w:lineRule="auto"/>
      </w:pPr>
      <w:r>
        <w:tab/>
        <w:t xml:space="preserve">In the same </w:t>
      </w:r>
      <w:r w:rsidR="00240672">
        <w:t>hearing</w:t>
      </w:r>
      <w:r>
        <w:t xml:space="preserve"> as Ringer’s clear statement of a writing necessarily preceding creation, an important policy was expressed by Irwin Karp and supported by the majority of the assembly – limiting the potential for authors to inadvertently sign away their works in the mess of paperwork governing publication. Karp stated, “Authors […] follow the same conduct which we as lawyers know most American businessmen and individuals follow. They don’t read contracts, especially if you look at some of the publishing contracts which run as much as thirty pages. […] author’s rights shouldn’t depend on something as technical as this.”</w:t>
      </w:r>
      <w:r w:rsidR="000F4DCD">
        <w:t xml:space="preserve"> (</w:t>
      </w:r>
      <w:r w:rsidR="00240672" w:rsidRPr="00240672">
        <w:rPr>
          <w:i/>
        </w:rPr>
        <w:t>Id</w:t>
      </w:r>
      <w:r w:rsidR="00240672">
        <w:t>. at</w:t>
      </w:r>
      <w:r w:rsidR="000F4DCD">
        <w:t xml:space="preserve"> 148)</w:t>
      </w:r>
      <w:r w:rsidR="00264749">
        <w:t xml:space="preserve"> </w:t>
      </w:r>
    </w:p>
    <w:p w14:paraId="598B5435" w14:textId="77777777" w:rsidR="00976AF9" w:rsidRDefault="006D44B8" w:rsidP="00D9056A">
      <w:pPr>
        <w:pStyle w:val="NoSpacing"/>
        <w:spacing w:line="480" w:lineRule="auto"/>
        <w:rPr>
          <w:szCs w:val="24"/>
        </w:rPr>
      </w:pPr>
      <w:r>
        <w:rPr>
          <w:szCs w:val="24"/>
        </w:rPr>
        <w:tab/>
      </w:r>
      <w:r w:rsidR="00240672">
        <w:rPr>
          <w:szCs w:val="24"/>
        </w:rPr>
        <w:t>This is an example of Congress preferring that</w:t>
      </w:r>
      <w:r w:rsidRPr="00240672">
        <w:rPr>
          <w:szCs w:val="24"/>
        </w:rPr>
        <w:t xml:space="preserve"> </w:t>
      </w:r>
      <w:r w:rsidR="00976AF9" w:rsidRPr="00240672">
        <w:rPr>
          <w:szCs w:val="24"/>
        </w:rPr>
        <w:t>employers,</w:t>
      </w:r>
      <w:r w:rsidR="00976AF9">
        <w:rPr>
          <w:szCs w:val="24"/>
        </w:rPr>
        <w:t xml:space="preserve"> rather than author</w:t>
      </w:r>
      <w:r w:rsidR="00951FD9">
        <w:rPr>
          <w:szCs w:val="24"/>
        </w:rPr>
        <w:t>s, bear</w:t>
      </w:r>
      <w:r>
        <w:rPr>
          <w:szCs w:val="24"/>
        </w:rPr>
        <w:t xml:space="preserve"> the risk of mistake when the question of a work made for hire is unclear.</w:t>
      </w:r>
      <w:r w:rsidR="00240672">
        <w:rPr>
          <w:szCs w:val="24"/>
        </w:rPr>
        <w:t xml:space="preserve"> Those in a position of power over authors and who conduct the negotiations and final deal should be the ones responsible for verifying that agreements are legal and not inherently misleading. </w:t>
      </w:r>
    </w:p>
    <w:p w14:paraId="512A6738" w14:textId="77777777" w:rsidR="00C94CDF" w:rsidRPr="00C94CDF" w:rsidRDefault="00C94CDF" w:rsidP="00D9056A">
      <w:pPr>
        <w:pStyle w:val="NoSpacing"/>
        <w:spacing w:line="480" w:lineRule="auto"/>
      </w:pPr>
      <w:r>
        <w:lastRenderedPageBreak/>
        <w:tab/>
        <w:t xml:space="preserve">Plaintiff argues that because Congress crafted its work made for hire provision with </w:t>
      </w:r>
      <w:r w:rsidR="00390754">
        <w:t xml:space="preserve">these </w:t>
      </w:r>
      <w:r>
        <w:t xml:space="preserve">inexperienced authors in mind, and Defendant Lime is not such a person, Plaintiff and Defendant Lime’s “clear oral agreement” should suffice to meet Congress’ goal of certainty and predictability prior to the creation of the work. But Congress chose to make written contracts mandatory for </w:t>
      </w:r>
      <w:r w:rsidRPr="00390754">
        <w:rPr>
          <w:i/>
        </w:rPr>
        <w:t>all</w:t>
      </w:r>
      <w:r>
        <w:t xml:space="preserve"> work made for hire agreements, regardless of the parties’ experience or the clarity of a preceding oral agreement. Courts cannot bypass the mandatory writing in the event of an oral agreement, however clear it may have been to the parties – </w:t>
      </w:r>
      <w:r w:rsidR="009A3842">
        <w:t xml:space="preserve">a </w:t>
      </w:r>
      <w:r>
        <w:t xml:space="preserve">convoluted effort </w:t>
      </w:r>
      <w:r w:rsidR="009A3842">
        <w:t xml:space="preserve">by the 7th Circuit </w:t>
      </w:r>
      <w:r>
        <w:t xml:space="preserve">to interpret symbols on a series of checks as a written agreement shows as much. </w:t>
      </w:r>
      <w:r w:rsidRPr="008018FD">
        <w:rPr>
          <w:i/>
        </w:rPr>
        <w:t>Playboy</w:t>
      </w:r>
      <w:r>
        <w:rPr>
          <w:i/>
        </w:rPr>
        <w:t xml:space="preserve"> Enterprises, Inc.</w:t>
      </w:r>
      <w:r>
        <w:t xml:space="preserve"> v. </w:t>
      </w:r>
      <w:r w:rsidRPr="008018FD">
        <w:rPr>
          <w:i/>
        </w:rPr>
        <w:t>Dumas</w:t>
      </w:r>
      <w:r>
        <w:t>, 53 F.3rd 549 (2nd Cir. 1995). Thus, it is of no relevance that Plaintiff and Defendant Lime began with an oral agreement prior to the creation of the work</w:t>
      </w:r>
      <w:r w:rsidR="00390754">
        <w:t>, nor that Defendant Lime worked as a writer before</w:t>
      </w:r>
      <w:r>
        <w:t xml:space="preserve">. In the eyes of the statute, oral agreement is meaningless until </w:t>
      </w:r>
      <w:proofErr w:type="gramStart"/>
      <w:r>
        <w:t>a written instrument is signed by both parties</w:t>
      </w:r>
      <w:r w:rsidR="00390754">
        <w:t>, whoever they are,</w:t>
      </w:r>
      <w:proofErr w:type="gramEnd"/>
      <w:r w:rsidR="00390754">
        <w:t xml:space="preserve"> and where there is confusion, </w:t>
      </w:r>
      <w:r w:rsidR="009A3842">
        <w:t xml:space="preserve">Congress prefers that </w:t>
      </w:r>
      <w:r w:rsidR="00390754">
        <w:t>the author be favored</w:t>
      </w:r>
      <w:r>
        <w:t>.</w:t>
      </w:r>
    </w:p>
    <w:p w14:paraId="62C6B3BF" w14:textId="77777777" w:rsidR="00781951" w:rsidRPr="00D9056A" w:rsidRDefault="00781951" w:rsidP="00D9056A">
      <w:pPr>
        <w:pStyle w:val="NoSpacing"/>
        <w:numPr>
          <w:ilvl w:val="0"/>
          <w:numId w:val="21"/>
        </w:numPr>
        <w:rPr>
          <w:b/>
          <w:i/>
        </w:rPr>
      </w:pPr>
      <w:r w:rsidRPr="00D9056A">
        <w:rPr>
          <w:b/>
          <w:i/>
        </w:rPr>
        <w:t xml:space="preserve">Federal Case Law </w:t>
      </w:r>
      <w:proofErr w:type="gramStart"/>
      <w:r w:rsidRPr="00D9056A">
        <w:rPr>
          <w:b/>
          <w:i/>
        </w:rPr>
        <w:t>Indicates</w:t>
      </w:r>
      <w:proofErr w:type="gramEnd"/>
      <w:r w:rsidRPr="00D9056A">
        <w:rPr>
          <w:b/>
          <w:i/>
        </w:rPr>
        <w:t xml:space="preserve"> that the Issue of </w:t>
      </w:r>
      <w:r w:rsidR="00280D42" w:rsidRPr="00D9056A">
        <w:rPr>
          <w:b/>
          <w:i/>
        </w:rPr>
        <w:t>Writings</w:t>
      </w:r>
      <w:r w:rsidRPr="00D9056A">
        <w:rPr>
          <w:b/>
          <w:i/>
        </w:rPr>
        <w:t xml:space="preserve"> Precedent is Strongly Contested, Suggesting Ambiguity.</w:t>
      </w:r>
    </w:p>
    <w:p w14:paraId="7BEA8F82" w14:textId="77777777" w:rsidR="00814EDE" w:rsidRDefault="00AD6B6C" w:rsidP="00814EDE">
      <w:pPr>
        <w:pStyle w:val="ListParagraph"/>
        <w:spacing w:before="240"/>
        <w:ind w:left="0"/>
      </w:pPr>
      <w:r>
        <w:tab/>
        <w:t xml:space="preserve">In relatively recent history, there has been an important circuit split on the very issue in question </w:t>
      </w:r>
      <w:r w:rsidR="00814EDE">
        <w:t xml:space="preserve">today, between the Seventh and Second Circuit Courts. These cases are </w:t>
      </w:r>
      <w:r w:rsidR="00814EDE" w:rsidRPr="008018FD">
        <w:rPr>
          <w:i/>
        </w:rPr>
        <w:t>Schiller &amp; Schmidt, Inc</w:t>
      </w:r>
      <w:r w:rsidR="00814EDE">
        <w:t xml:space="preserve">. v. </w:t>
      </w:r>
      <w:proofErr w:type="spellStart"/>
      <w:r w:rsidR="00814EDE" w:rsidRPr="008018FD">
        <w:rPr>
          <w:i/>
        </w:rPr>
        <w:t>Nordisco</w:t>
      </w:r>
      <w:proofErr w:type="spellEnd"/>
      <w:r w:rsidR="00814EDE" w:rsidRPr="008018FD">
        <w:rPr>
          <w:i/>
        </w:rPr>
        <w:t xml:space="preserve"> Corp</w:t>
      </w:r>
      <w:r w:rsidR="008B6CCD">
        <w:t>.</w:t>
      </w:r>
      <w:r w:rsidR="00814EDE">
        <w:t xml:space="preserve">, 969 F.2d 410 (7th Cir. 1992), and </w:t>
      </w:r>
      <w:r w:rsidR="00814EDE" w:rsidRPr="008018FD">
        <w:rPr>
          <w:i/>
        </w:rPr>
        <w:t>Playboy</w:t>
      </w:r>
      <w:r w:rsidR="00814EDE">
        <w:rPr>
          <w:i/>
        </w:rPr>
        <w:t xml:space="preserve"> Enterprises, Inc.</w:t>
      </w:r>
      <w:r w:rsidR="00814EDE">
        <w:t xml:space="preserve"> v. </w:t>
      </w:r>
      <w:r w:rsidR="00814EDE" w:rsidRPr="008018FD">
        <w:rPr>
          <w:i/>
        </w:rPr>
        <w:t>Dumas</w:t>
      </w:r>
      <w:r w:rsidR="00814EDE">
        <w:t>, 53 F.3</w:t>
      </w:r>
      <w:r w:rsidR="00814EDE" w:rsidRPr="008B6CCD">
        <w:rPr>
          <w:sz w:val="20"/>
        </w:rPr>
        <w:t>rd</w:t>
      </w:r>
      <w:r w:rsidR="00814EDE">
        <w:t xml:space="preserve"> 549 (2</w:t>
      </w:r>
      <w:r w:rsidR="00814EDE" w:rsidRPr="008B6CCD">
        <w:rPr>
          <w:sz w:val="20"/>
        </w:rPr>
        <w:t>nd</w:t>
      </w:r>
      <w:r w:rsidR="00814EDE">
        <w:t xml:space="preserve"> Cir. 1995). As the Supreme Court has made no determination on the matter, we are left to reconcile two contrary positions.</w:t>
      </w:r>
      <w:r w:rsidR="003B2C1F">
        <w:t xml:space="preserve"> Unfortunately, both cases involve facts rather dissimilar to the case at hand, and require the courts to address several other issues alongside the present one.</w:t>
      </w:r>
    </w:p>
    <w:p w14:paraId="7090685B" w14:textId="77777777" w:rsidR="00781951" w:rsidRPr="00FF04AF" w:rsidRDefault="00814EDE" w:rsidP="00280D42">
      <w:pPr>
        <w:pStyle w:val="ListParagraph"/>
        <w:spacing w:before="240"/>
        <w:ind w:left="0"/>
        <w:rPr>
          <w:b/>
        </w:rPr>
      </w:pPr>
      <w:r>
        <w:tab/>
      </w:r>
      <w:r w:rsidRPr="00814EDE">
        <w:rPr>
          <w:i/>
        </w:rPr>
        <w:t>Schiller &amp; Schmidt</w:t>
      </w:r>
      <w:r w:rsidR="00280D42">
        <w:t xml:space="preserve"> found that in all copyright transfers and sales, including works made for hire, </w:t>
      </w:r>
      <w:r w:rsidR="00280D42">
        <w:rPr>
          <w:color w:val="000000"/>
          <w:szCs w:val="24"/>
        </w:rPr>
        <w:t>“[t]</w:t>
      </w:r>
      <w:r w:rsidR="00280D42" w:rsidRPr="00C94E2C">
        <w:rPr>
          <w:color w:val="000000"/>
          <w:szCs w:val="24"/>
        </w:rPr>
        <w:t xml:space="preserve">he writing must precede the creation of the property in order to serve its purpose of </w:t>
      </w:r>
      <w:r w:rsidR="00280D42" w:rsidRPr="00C94E2C">
        <w:rPr>
          <w:color w:val="000000"/>
          <w:szCs w:val="24"/>
        </w:rPr>
        <w:lastRenderedPageBreak/>
        <w:t>identifying the (</w:t>
      </w:r>
      <w:proofErr w:type="spellStart"/>
      <w:r w:rsidR="00280D42" w:rsidRPr="00C94E2C">
        <w:rPr>
          <w:color w:val="000000"/>
          <w:szCs w:val="24"/>
        </w:rPr>
        <w:t>noncreator</w:t>
      </w:r>
      <w:proofErr w:type="spellEnd"/>
      <w:r w:rsidR="00280D42" w:rsidRPr="00C94E2C">
        <w:rPr>
          <w:color w:val="000000"/>
          <w:szCs w:val="24"/>
        </w:rPr>
        <w:t>) owner unequivocally.</w:t>
      </w:r>
      <w:r w:rsidR="00280D42">
        <w:rPr>
          <w:color w:val="000000"/>
          <w:szCs w:val="24"/>
        </w:rPr>
        <w:t>”</w:t>
      </w:r>
      <w:r w:rsidR="008B6CCD">
        <w:rPr>
          <w:color w:val="000000"/>
          <w:szCs w:val="24"/>
        </w:rPr>
        <w:t xml:space="preserve"> </w:t>
      </w:r>
      <w:r w:rsidR="008B6CCD" w:rsidRPr="008018FD">
        <w:rPr>
          <w:i/>
        </w:rPr>
        <w:t>Schiller &amp; Schmidt, Inc</w:t>
      </w:r>
      <w:r w:rsidR="008B6CCD">
        <w:t xml:space="preserve">. v. </w:t>
      </w:r>
      <w:proofErr w:type="spellStart"/>
      <w:r w:rsidR="008B6CCD" w:rsidRPr="008018FD">
        <w:rPr>
          <w:i/>
        </w:rPr>
        <w:t>Nordisco</w:t>
      </w:r>
      <w:proofErr w:type="spellEnd"/>
      <w:r w:rsidR="008B6CCD" w:rsidRPr="008018FD">
        <w:rPr>
          <w:i/>
        </w:rPr>
        <w:t xml:space="preserve"> Corp</w:t>
      </w:r>
      <w:r w:rsidR="008B6CCD">
        <w:t>., 969 F.2d 410, 413 (7</w:t>
      </w:r>
      <w:r w:rsidR="008B6CCD" w:rsidRPr="008B6CCD">
        <w:rPr>
          <w:sz w:val="20"/>
        </w:rPr>
        <w:t>th</w:t>
      </w:r>
      <w:r w:rsidR="008B6CCD">
        <w:t xml:space="preserve"> Cir. 1992).</w:t>
      </w:r>
      <w:r w:rsidR="00094D00">
        <w:rPr>
          <w:color w:val="000000"/>
          <w:szCs w:val="24"/>
        </w:rPr>
        <w:t xml:space="preserve"> This c</w:t>
      </w:r>
      <w:r w:rsidR="003B2C1F">
        <w:rPr>
          <w:color w:val="000000"/>
          <w:szCs w:val="24"/>
        </w:rPr>
        <w:t>ourt focused on the underlying policy issues that permeate the Copyright Act, such as the intent to protect authors, the need for bright</w:t>
      </w:r>
      <w:r w:rsidR="00FF04AF">
        <w:rPr>
          <w:color w:val="000000"/>
          <w:szCs w:val="24"/>
        </w:rPr>
        <w:t>-</w:t>
      </w:r>
      <w:r w:rsidR="003B2C1F">
        <w:rPr>
          <w:color w:val="000000"/>
          <w:szCs w:val="24"/>
        </w:rPr>
        <w:t>line rules on ownership, and the delicate nature of pro</w:t>
      </w:r>
      <w:r w:rsidR="008B6CCD">
        <w:rPr>
          <w:color w:val="000000"/>
          <w:szCs w:val="24"/>
        </w:rPr>
        <w:t>tecting intellectual property</w:t>
      </w:r>
      <w:r w:rsidR="003B2C1F">
        <w:rPr>
          <w:color w:val="000000"/>
          <w:szCs w:val="24"/>
        </w:rPr>
        <w:t>.</w:t>
      </w:r>
      <w:r w:rsidR="008B6CCD">
        <w:rPr>
          <w:color w:val="000000"/>
          <w:szCs w:val="24"/>
        </w:rPr>
        <w:t xml:space="preserve"> </w:t>
      </w:r>
      <w:proofErr w:type="gramStart"/>
      <w:r w:rsidR="008B6CCD" w:rsidRPr="008B6CCD">
        <w:rPr>
          <w:i/>
          <w:color w:val="000000"/>
          <w:szCs w:val="24"/>
        </w:rPr>
        <w:t>Id</w:t>
      </w:r>
      <w:r w:rsidR="008B6CCD">
        <w:rPr>
          <w:color w:val="000000"/>
          <w:szCs w:val="24"/>
        </w:rPr>
        <w:t>. at 412.</w:t>
      </w:r>
      <w:proofErr w:type="gramEnd"/>
      <w:r w:rsidR="003B2C1F">
        <w:rPr>
          <w:color w:val="000000"/>
          <w:szCs w:val="24"/>
        </w:rPr>
        <w:t xml:space="preserve"> </w:t>
      </w:r>
      <w:r w:rsidR="00FF04AF">
        <w:rPr>
          <w:color w:val="000000"/>
          <w:szCs w:val="24"/>
        </w:rPr>
        <w:t>However, t</w:t>
      </w:r>
      <w:r w:rsidR="00094D00">
        <w:rPr>
          <w:color w:val="000000"/>
          <w:szCs w:val="24"/>
        </w:rPr>
        <w:t>he c</w:t>
      </w:r>
      <w:r w:rsidR="00280D42">
        <w:rPr>
          <w:color w:val="000000"/>
          <w:szCs w:val="24"/>
        </w:rPr>
        <w:t xml:space="preserve">ourt </w:t>
      </w:r>
      <w:r w:rsidR="00FF04AF">
        <w:rPr>
          <w:color w:val="000000"/>
          <w:szCs w:val="24"/>
        </w:rPr>
        <w:t xml:space="preserve">also had to </w:t>
      </w:r>
      <w:r w:rsidR="00280D42">
        <w:rPr>
          <w:color w:val="000000"/>
          <w:szCs w:val="24"/>
        </w:rPr>
        <w:t xml:space="preserve">examine </w:t>
      </w:r>
      <w:r w:rsidR="003B2C1F">
        <w:rPr>
          <w:color w:val="000000"/>
          <w:szCs w:val="24"/>
        </w:rPr>
        <w:t xml:space="preserve">a variety of problems based on the facts of the case at hand, which </w:t>
      </w:r>
      <w:r w:rsidR="008B6CCD">
        <w:rPr>
          <w:color w:val="000000"/>
          <w:szCs w:val="24"/>
        </w:rPr>
        <w:t>included</w:t>
      </w:r>
      <w:r w:rsidR="003B2C1F">
        <w:rPr>
          <w:color w:val="000000"/>
          <w:szCs w:val="24"/>
        </w:rPr>
        <w:t xml:space="preserve"> public domain, graphic design, and trade secret law</w:t>
      </w:r>
      <w:r w:rsidR="00FF04AF">
        <w:rPr>
          <w:color w:val="000000"/>
          <w:szCs w:val="24"/>
        </w:rPr>
        <w:t xml:space="preserve">, which detracted somewhat from the force of their conclusions on the Copyright Act. </w:t>
      </w:r>
      <w:proofErr w:type="gramStart"/>
      <w:r w:rsidR="008B6CCD" w:rsidRPr="008B6CCD">
        <w:rPr>
          <w:i/>
          <w:color w:val="000000"/>
          <w:szCs w:val="24"/>
        </w:rPr>
        <w:t>Id</w:t>
      </w:r>
      <w:r w:rsidR="008B6CCD">
        <w:rPr>
          <w:i/>
          <w:color w:val="000000"/>
          <w:szCs w:val="24"/>
        </w:rPr>
        <w:t>.</w:t>
      </w:r>
      <w:r w:rsidR="008B6CCD">
        <w:rPr>
          <w:color w:val="000000"/>
          <w:szCs w:val="24"/>
        </w:rPr>
        <w:t xml:space="preserve"> at 414, 415.</w:t>
      </w:r>
      <w:proofErr w:type="gramEnd"/>
      <w:r w:rsidR="008B6CCD">
        <w:rPr>
          <w:color w:val="000000"/>
          <w:szCs w:val="24"/>
        </w:rPr>
        <w:t xml:space="preserve"> </w:t>
      </w:r>
      <w:r w:rsidR="00FF04AF">
        <w:rPr>
          <w:color w:val="000000"/>
          <w:szCs w:val="24"/>
        </w:rPr>
        <w:t>Ultim</w:t>
      </w:r>
      <w:r w:rsidR="00094D00">
        <w:rPr>
          <w:color w:val="000000"/>
          <w:szCs w:val="24"/>
        </w:rPr>
        <w:t>ately, though, the court accepted</w:t>
      </w:r>
      <w:r w:rsidR="003B2C1F">
        <w:rPr>
          <w:color w:val="000000"/>
          <w:szCs w:val="24"/>
        </w:rPr>
        <w:t xml:space="preserve"> that the Copyright </w:t>
      </w:r>
      <w:r w:rsidR="00FF04AF">
        <w:rPr>
          <w:color w:val="000000"/>
          <w:szCs w:val="24"/>
        </w:rPr>
        <w:t xml:space="preserve">Act requires writings precedent, </w:t>
      </w:r>
      <w:r w:rsidR="003B2C1F">
        <w:rPr>
          <w:color w:val="000000"/>
          <w:szCs w:val="24"/>
        </w:rPr>
        <w:t>s</w:t>
      </w:r>
      <w:r w:rsidR="00EA151D">
        <w:rPr>
          <w:color w:val="000000"/>
          <w:szCs w:val="24"/>
        </w:rPr>
        <w:t>tating that “[t]</w:t>
      </w:r>
      <w:r w:rsidR="00EA151D">
        <w:t>he writing must precede the creation of the property in order to serve its purpose of identifying the (</w:t>
      </w:r>
      <w:proofErr w:type="spellStart"/>
      <w:r w:rsidR="00EA151D">
        <w:t>noncreator</w:t>
      </w:r>
      <w:proofErr w:type="spellEnd"/>
      <w:r w:rsidR="00EA151D">
        <w:t>) owner unequivocally.”</w:t>
      </w:r>
      <w:r w:rsidR="008B6CCD">
        <w:rPr>
          <w:color w:val="000000"/>
          <w:szCs w:val="24"/>
        </w:rPr>
        <w:t xml:space="preserve"> </w:t>
      </w:r>
      <w:proofErr w:type="gramStart"/>
      <w:r w:rsidR="008B6CCD" w:rsidRPr="008B6CCD">
        <w:rPr>
          <w:i/>
          <w:color w:val="000000"/>
          <w:szCs w:val="24"/>
        </w:rPr>
        <w:t>Id</w:t>
      </w:r>
      <w:r w:rsidR="008B6CCD">
        <w:rPr>
          <w:color w:val="000000"/>
          <w:szCs w:val="24"/>
        </w:rPr>
        <w:t>. at 413.</w:t>
      </w:r>
      <w:proofErr w:type="gramEnd"/>
      <w:r w:rsidR="008B6CCD">
        <w:rPr>
          <w:color w:val="000000"/>
          <w:szCs w:val="24"/>
        </w:rPr>
        <w:t xml:space="preserve"> </w:t>
      </w:r>
    </w:p>
    <w:p w14:paraId="6F006E41" w14:textId="77777777" w:rsidR="00781951" w:rsidRPr="006E6B49" w:rsidRDefault="005152B7" w:rsidP="00280D42">
      <w:pPr>
        <w:pStyle w:val="ListParagraph"/>
        <w:spacing w:before="240"/>
        <w:ind w:left="0"/>
        <w:rPr>
          <w:b/>
          <w:i/>
        </w:rPr>
      </w:pPr>
      <w:r>
        <w:tab/>
      </w:r>
      <w:r w:rsidR="003B2C1F">
        <w:t>The second ca</w:t>
      </w:r>
      <w:r>
        <w:t>s</w:t>
      </w:r>
      <w:r w:rsidR="003B2C1F">
        <w:t>e,</w:t>
      </w:r>
      <w:r>
        <w:t xml:space="preserve"> </w:t>
      </w:r>
      <w:r w:rsidR="00EA151D" w:rsidRPr="008018FD">
        <w:rPr>
          <w:i/>
        </w:rPr>
        <w:t>Playboy</w:t>
      </w:r>
      <w:r w:rsidR="00EA151D">
        <w:rPr>
          <w:i/>
        </w:rPr>
        <w:t xml:space="preserve"> Enterprises, Inc.</w:t>
      </w:r>
      <w:r w:rsidR="00EA151D">
        <w:t xml:space="preserve"> v. </w:t>
      </w:r>
      <w:r w:rsidR="00EA151D" w:rsidRPr="008018FD">
        <w:rPr>
          <w:i/>
        </w:rPr>
        <w:t>Dumas</w:t>
      </w:r>
      <w:r w:rsidR="00EA151D">
        <w:t>, 53 F.3</w:t>
      </w:r>
      <w:r w:rsidR="00EA151D" w:rsidRPr="008B6CCD">
        <w:rPr>
          <w:sz w:val="20"/>
        </w:rPr>
        <w:t>rd</w:t>
      </w:r>
      <w:r w:rsidR="00EA151D">
        <w:t xml:space="preserve"> 549 (2</w:t>
      </w:r>
      <w:r w:rsidR="00EA151D" w:rsidRPr="008B6CCD">
        <w:rPr>
          <w:sz w:val="20"/>
        </w:rPr>
        <w:t>nd</w:t>
      </w:r>
      <w:r w:rsidR="00EA151D">
        <w:t xml:space="preserve"> Cir. 1995), </w:t>
      </w:r>
      <w:r w:rsidR="003B2C1F">
        <w:t>occurred three years later.</w:t>
      </w:r>
      <w:r>
        <w:t xml:space="preserve"> </w:t>
      </w:r>
      <w:r w:rsidR="00094D00">
        <w:t xml:space="preserve">The court </w:t>
      </w:r>
      <w:r w:rsidR="00EA151D">
        <w:t>t</w:t>
      </w:r>
      <w:r w:rsidR="00094D00">
        <w:t>here explored</w:t>
      </w:r>
      <w:r w:rsidR="00240672">
        <w:t xml:space="preserve"> and acknowledge</w:t>
      </w:r>
      <w:r w:rsidR="00094D00">
        <w:t>d</w:t>
      </w:r>
      <w:r w:rsidR="00240672">
        <w:t xml:space="preserve"> many of the arguments raised </w:t>
      </w:r>
      <w:r w:rsidR="00EA151D">
        <w:t>in this Brief</w:t>
      </w:r>
      <w:r w:rsidR="00240672">
        <w:t xml:space="preserve">, including Barbara Ringer’s testimony, </w:t>
      </w:r>
      <w:r w:rsidR="00781951">
        <w:t xml:space="preserve">the duplicative </w:t>
      </w:r>
      <w:r w:rsidR="00240672">
        <w:t>nature</w:t>
      </w:r>
      <w:r w:rsidR="00781951">
        <w:t xml:space="preserve"> of transfers</w:t>
      </w:r>
      <w:r w:rsidR="00240672">
        <w:t xml:space="preserve"> if the writing could be signed at any time</w:t>
      </w:r>
      <w:r w:rsidR="00781951">
        <w:t xml:space="preserve">, and the </w:t>
      </w:r>
      <w:r w:rsidR="00781951" w:rsidRPr="00240672">
        <w:rPr>
          <w:i/>
        </w:rPr>
        <w:t xml:space="preserve">Schiller </w:t>
      </w:r>
      <w:r w:rsidR="00240672" w:rsidRPr="00240672">
        <w:rPr>
          <w:i/>
        </w:rPr>
        <w:t>&amp;</w:t>
      </w:r>
      <w:r w:rsidR="00781951" w:rsidRPr="00240672">
        <w:rPr>
          <w:i/>
        </w:rPr>
        <w:t xml:space="preserve"> Schmidt</w:t>
      </w:r>
      <w:r w:rsidR="00781951">
        <w:t xml:space="preserve"> decision</w:t>
      </w:r>
      <w:r w:rsidR="00094D00">
        <w:t>.</w:t>
      </w:r>
      <w:r w:rsidR="00EA151D">
        <w:t xml:space="preserve"> </w:t>
      </w:r>
      <w:proofErr w:type="gramStart"/>
      <w:r w:rsidR="00EA151D" w:rsidRPr="00EA151D">
        <w:rPr>
          <w:i/>
        </w:rPr>
        <w:t>Id</w:t>
      </w:r>
      <w:r w:rsidR="00EA151D">
        <w:t>. at 558.</w:t>
      </w:r>
      <w:proofErr w:type="gramEnd"/>
      <w:r w:rsidR="00094D00">
        <w:t xml:space="preserve"> The court</w:t>
      </w:r>
      <w:r w:rsidR="00240672">
        <w:t xml:space="preserve"> also agree</w:t>
      </w:r>
      <w:r w:rsidR="00094D00">
        <w:t>d</w:t>
      </w:r>
      <w:r w:rsidR="00240672">
        <w:t xml:space="preserve"> that there must be a writing signed that embodies the agreement, but remain</w:t>
      </w:r>
      <w:r w:rsidR="00094D00">
        <w:t>ed</w:t>
      </w:r>
      <w:r w:rsidR="00240672">
        <w:t xml:space="preserve"> hesitant to declare that the writing must be precedent.</w:t>
      </w:r>
      <w:r w:rsidR="00280D42">
        <w:t xml:space="preserve"> </w:t>
      </w:r>
      <w:proofErr w:type="gramStart"/>
      <w:r w:rsidR="00EA151D" w:rsidRPr="00EA151D">
        <w:rPr>
          <w:i/>
        </w:rPr>
        <w:t>Id</w:t>
      </w:r>
      <w:r w:rsidR="00EA151D">
        <w:t>. at 559.</w:t>
      </w:r>
      <w:proofErr w:type="gramEnd"/>
      <w:r w:rsidR="00EA151D">
        <w:t xml:space="preserve"> </w:t>
      </w:r>
      <w:r w:rsidR="00280D42">
        <w:t xml:space="preserve">However, this can be largely attributed to the bizarre facts of the case, where </w:t>
      </w:r>
      <w:proofErr w:type="gramStart"/>
      <w:r w:rsidR="00280D42">
        <w:t>a writing</w:t>
      </w:r>
      <w:proofErr w:type="gramEnd"/>
      <w:r w:rsidR="00280D42">
        <w:t xml:space="preserve"> was never formally created in the first place and where several copyrights fell under the original 1909 Copyright Act.</w:t>
      </w:r>
      <w:r w:rsidR="00EA151D">
        <w:t xml:space="preserve"> </w:t>
      </w:r>
      <w:proofErr w:type="gramStart"/>
      <w:r w:rsidR="00EA151D" w:rsidRPr="00EA151D">
        <w:rPr>
          <w:i/>
        </w:rPr>
        <w:t>Id</w:t>
      </w:r>
      <w:r w:rsidR="00EA151D">
        <w:t>. at 550.</w:t>
      </w:r>
      <w:proofErr w:type="gramEnd"/>
    </w:p>
    <w:p w14:paraId="7E92B5E9" w14:textId="77777777" w:rsidR="00955493" w:rsidRDefault="00280D42" w:rsidP="005152B7">
      <w:pPr>
        <w:pStyle w:val="ListParagraph"/>
        <w:spacing w:before="240"/>
        <w:ind w:left="0"/>
        <w:rPr>
          <w:b/>
          <w:i/>
        </w:rPr>
      </w:pPr>
      <w:r>
        <w:tab/>
      </w:r>
      <w:r w:rsidR="00094D00">
        <w:t xml:space="preserve">The court even conceded </w:t>
      </w:r>
      <w:r w:rsidR="006E6B49">
        <w:t xml:space="preserve">that </w:t>
      </w:r>
      <w:r w:rsidR="006E6B49">
        <w:rPr>
          <w:color w:val="000000"/>
          <w:szCs w:val="24"/>
        </w:rPr>
        <w:t>“</w:t>
      </w:r>
      <w:r w:rsidR="006E6B49" w:rsidRPr="008B45A3">
        <w:rPr>
          <w:color w:val="000000"/>
          <w:szCs w:val="24"/>
        </w:rPr>
        <w:t>Congress's goal of “predictability” would be thwarted if a hiring party and an independent contractor could enter into a work-for-hire agreement years after a work was created.</w:t>
      </w:r>
      <w:r w:rsidR="006E6B49">
        <w:rPr>
          <w:color w:val="000000"/>
          <w:szCs w:val="24"/>
        </w:rPr>
        <w:t>”</w:t>
      </w:r>
      <w:r>
        <w:rPr>
          <w:color w:val="000000"/>
          <w:szCs w:val="24"/>
        </w:rPr>
        <w:t xml:space="preserve"> </w:t>
      </w:r>
      <w:proofErr w:type="gramStart"/>
      <w:r w:rsidR="00EA151D" w:rsidRPr="00EA151D">
        <w:rPr>
          <w:i/>
          <w:color w:val="000000"/>
          <w:szCs w:val="24"/>
        </w:rPr>
        <w:t>Id</w:t>
      </w:r>
      <w:r w:rsidR="00EA151D">
        <w:rPr>
          <w:color w:val="000000"/>
          <w:szCs w:val="24"/>
        </w:rPr>
        <w:t>. at 559.</w:t>
      </w:r>
      <w:proofErr w:type="gramEnd"/>
      <w:r w:rsidR="00EA151D">
        <w:rPr>
          <w:color w:val="000000"/>
          <w:szCs w:val="24"/>
        </w:rPr>
        <w:t xml:space="preserve"> </w:t>
      </w:r>
      <w:r>
        <w:rPr>
          <w:color w:val="000000"/>
          <w:szCs w:val="24"/>
        </w:rPr>
        <w:t xml:space="preserve">Thus, while the </w:t>
      </w:r>
      <w:r w:rsidRPr="00617AC2">
        <w:rPr>
          <w:i/>
          <w:color w:val="000000"/>
          <w:szCs w:val="24"/>
        </w:rPr>
        <w:t>Playboy Enterprises</w:t>
      </w:r>
      <w:r>
        <w:rPr>
          <w:color w:val="000000"/>
          <w:szCs w:val="24"/>
        </w:rPr>
        <w:t xml:space="preserve"> </w:t>
      </w:r>
      <w:r w:rsidR="00617AC2">
        <w:rPr>
          <w:color w:val="000000"/>
          <w:szCs w:val="24"/>
        </w:rPr>
        <w:t>court</w:t>
      </w:r>
      <w:r>
        <w:rPr>
          <w:color w:val="000000"/>
          <w:szCs w:val="24"/>
        </w:rPr>
        <w:t xml:space="preserve"> ultimately declined to adopt the argument Defendants raise today, </w:t>
      </w:r>
      <w:r w:rsidR="009D574B">
        <w:rPr>
          <w:color w:val="000000"/>
          <w:szCs w:val="24"/>
        </w:rPr>
        <w:t>there is still a strong, plausible basis for accepting and upholding it.</w:t>
      </w:r>
    </w:p>
    <w:p w14:paraId="5D59A70D" w14:textId="77777777" w:rsidR="00D9056A" w:rsidRDefault="005152B7" w:rsidP="00D9056A">
      <w:pPr>
        <w:pStyle w:val="ListParagraph"/>
        <w:spacing w:before="240"/>
        <w:ind w:left="0"/>
      </w:pPr>
      <w:r>
        <w:rPr>
          <w:b/>
        </w:rPr>
        <w:lastRenderedPageBreak/>
        <w:tab/>
      </w:r>
      <w:r>
        <w:t xml:space="preserve">Ultimately, the fact that the circuit courts cannot come to a full agreement about the nature of the Copyright Act requirements indicate that a plain language reading is insufficient to properly interpret the work made for hire agreement. After examining the ambiguities, the intent of those involved in passing the 1976 revision, and the underlying policy interests, this Court should grant Defendants’ motion due to the inherent issues 17 U.S.C. </w:t>
      </w:r>
      <w:r w:rsidRPr="00001A8C">
        <w:rPr>
          <w:rFonts w:ascii="Calibri" w:hAnsi="Calibri" w:cs="Calibri"/>
        </w:rPr>
        <w:t>§</w:t>
      </w:r>
      <w:r>
        <w:t xml:space="preserve"> 201(b) presents.</w:t>
      </w:r>
    </w:p>
    <w:p w14:paraId="536A7DDB" w14:textId="77777777" w:rsidR="00781951" w:rsidRPr="00D9056A" w:rsidRDefault="00781951" w:rsidP="00D9056A">
      <w:pPr>
        <w:pStyle w:val="NoSpacing"/>
        <w:numPr>
          <w:ilvl w:val="0"/>
          <w:numId w:val="19"/>
        </w:numPr>
        <w:rPr>
          <w:b/>
        </w:rPr>
      </w:pPr>
      <w:r w:rsidRPr="00D9056A">
        <w:rPr>
          <w:b/>
        </w:rPr>
        <w:t xml:space="preserve">Because Plaintiff Cannot Show That </w:t>
      </w:r>
      <w:r w:rsidR="00C93435" w:rsidRPr="00D9056A">
        <w:rPr>
          <w:b/>
        </w:rPr>
        <w:t>Its</w:t>
      </w:r>
      <w:r w:rsidRPr="00D9056A">
        <w:rPr>
          <w:b/>
        </w:rPr>
        <w:t xml:space="preserve"> Copyright Is Valid, the Court Should Grant Defendants’ 12(c) Motion for Judgment on the Pleadings.</w:t>
      </w:r>
    </w:p>
    <w:p w14:paraId="376B161F" w14:textId="77777777" w:rsidR="00240672" w:rsidRDefault="00240672" w:rsidP="00240672">
      <w:pPr>
        <w:pStyle w:val="ListParagraph"/>
        <w:numPr>
          <w:ilvl w:val="0"/>
          <w:numId w:val="13"/>
        </w:numPr>
        <w:spacing w:before="240"/>
        <w:rPr>
          <w:b/>
          <w:i/>
        </w:rPr>
      </w:pPr>
      <w:r>
        <w:rPr>
          <w:b/>
          <w:i/>
        </w:rPr>
        <w:t xml:space="preserve">Plaintiff Does Not Have a </w:t>
      </w:r>
      <w:r w:rsidR="00BA40BA">
        <w:rPr>
          <w:b/>
          <w:i/>
        </w:rPr>
        <w:t>Protected</w:t>
      </w:r>
      <w:r>
        <w:rPr>
          <w:b/>
          <w:i/>
        </w:rPr>
        <w:t xml:space="preserve"> Copyright Interest in the Screenplay</w:t>
      </w:r>
      <w:r w:rsidR="00BA40BA">
        <w:rPr>
          <w:b/>
          <w:i/>
        </w:rPr>
        <w:t>.</w:t>
      </w:r>
    </w:p>
    <w:p w14:paraId="223C7BC1" w14:textId="77777777" w:rsidR="00240672" w:rsidRDefault="00240672" w:rsidP="00240672">
      <w:pPr>
        <w:pStyle w:val="ListParagraph"/>
        <w:spacing w:before="240"/>
        <w:ind w:left="0"/>
      </w:pPr>
      <w:r>
        <w:tab/>
        <w:t xml:space="preserve">Because the Copyright Act, 17 U.S.C. </w:t>
      </w:r>
      <w:r w:rsidRPr="00001A8C">
        <w:rPr>
          <w:rFonts w:ascii="Calibri" w:hAnsi="Calibri" w:cs="Calibri"/>
        </w:rPr>
        <w:t>§</w:t>
      </w:r>
      <w:r>
        <w:t xml:space="preserve"> 201(b), requires that works made for hire are preceded in creation and delivery by a signed writing, and because Plaintiff and Defendant Lime did not create this agreement until six days after the completion and delivery of the screenplay, Plaintiff’s assertion that it holds copyright over the screenplay is incorrect. </w:t>
      </w:r>
      <w:r w:rsidR="00BA40BA">
        <w:t xml:space="preserve">Because Plaintiff did not acquire a valid copyright interest in the screenplay, the copyright rests with Defendant Lime to use as she pleased – in this case, to sell it subsequently to Defendant </w:t>
      </w:r>
      <w:proofErr w:type="spellStart"/>
      <w:r w:rsidR="00BA40BA">
        <w:t>TinyTV</w:t>
      </w:r>
      <w:proofErr w:type="spellEnd"/>
      <w:r w:rsidR="00BA40BA">
        <w:t>, Inc.</w:t>
      </w:r>
    </w:p>
    <w:p w14:paraId="05646273" w14:textId="77777777" w:rsidR="00781951" w:rsidRDefault="00094D00" w:rsidP="00D9056A">
      <w:pPr>
        <w:pStyle w:val="NoSpacing"/>
        <w:numPr>
          <w:ilvl w:val="0"/>
          <w:numId w:val="13"/>
        </w:numPr>
        <w:rPr>
          <w:b/>
          <w:i/>
        </w:rPr>
      </w:pPr>
      <w:r w:rsidRPr="00D9056A">
        <w:rPr>
          <w:b/>
          <w:i/>
        </w:rPr>
        <w:t>Even If This Court Finds that Defendant Has Infringed Plaintiff’s Copyright, Plaintiff Should Not Receive the Requested Damages.</w:t>
      </w:r>
    </w:p>
    <w:p w14:paraId="77218641" w14:textId="77777777" w:rsidR="007D4768" w:rsidRPr="00D9056A" w:rsidRDefault="007D4768" w:rsidP="007D4768">
      <w:pPr>
        <w:pStyle w:val="NoSpacing"/>
        <w:ind w:left="1080"/>
        <w:rPr>
          <w:b/>
          <w:i/>
        </w:rPr>
      </w:pPr>
    </w:p>
    <w:p w14:paraId="5C285975" w14:textId="77777777" w:rsidR="00C93435" w:rsidRDefault="00C93435" w:rsidP="00D9056A">
      <w:pPr>
        <w:pStyle w:val="NoSpacing"/>
        <w:spacing w:line="480" w:lineRule="auto"/>
      </w:pPr>
      <w:r>
        <w:tab/>
        <w:t xml:space="preserve">Plaintiff has advanced an outrageous demand for </w:t>
      </w:r>
      <w:r w:rsidR="00781951" w:rsidRPr="00CD73F2">
        <w:t xml:space="preserve">$80,000 for “damages sustained by Plaintiff by reason of Defendants’ acts, and to account to Plaintiff for all gains, profits and advantages derived from their acts”. </w:t>
      </w:r>
      <w:proofErr w:type="gramStart"/>
      <w:r w:rsidR="00781951" w:rsidRPr="00CD73F2">
        <w:t>(</w:t>
      </w:r>
      <w:proofErr w:type="spellStart"/>
      <w:r w:rsidR="00781951" w:rsidRPr="00CD73F2">
        <w:t>Compl</w:t>
      </w:r>
      <w:proofErr w:type="spellEnd"/>
      <w:r w:rsidR="00781951" w:rsidRPr="00CD73F2">
        <w:t xml:space="preserve">. </w:t>
      </w:r>
      <w:r w:rsidR="00F63681">
        <w:t xml:space="preserve">¶ </w:t>
      </w:r>
      <w:r w:rsidR="00781951" w:rsidRPr="00CD73F2">
        <w:t>35)</w:t>
      </w:r>
      <w:r w:rsidR="00781951">
        <w:t>.</w:t>
      </w:r>
      <w:proofErr w:type="gramEnd"/>
      <w:r w:rsidR="00781951">
        <w:t xml:space="preserve"> The only explanation </w:t>
      </w:r>
      <w:r>
        <w:t xml:space="preserve">for this sum </w:t>
      </w:r>
      <w:r w:rsidR="00781951">
        <w:t xml:space="preserve">is “lost advertising revenue”. </w:t>
      </w:r>
      <w:proofErr w:type="gramStart"/>
      <w:r w:rsidR="00781951">
        <w:t>(</w:t>
      </w:r>
      <w:proofErr w:type="spellStart"/>
      <w:r w:rsidR="00781951">
        <w:t>Compl</w:t>
      </w:r>
      <w:proofErr w:type="spellEnd"/>
      <w:r w:rsidR="00781951">
        <w:t>.</w:t>
      </w:r>
      <w:r w:rsidR="00F63681">
        <w:t xml:space="preserve"> ¶</w:t>
      </w:r>
      <w:r w:rsidR="00781951">
        <w:t xml:space="preserve"> 30).</w:t>
      </w:r>
      <w:proofErr w:type="gramEnd"/>
      <w:r>
        <w:t xml:space="preserve"> But </w:t>
      </w:r>
      <w:r w:rsidR="00781951">
        <w:t xml:space="preserve">Plaintiff </w:t>
      </w:r>
      <w:r w:rsidR="002B3D31">
        <w:t>has explicitly refused to</w:t>
      </w:r>
      <w:r w:rsidR="00781951">
        <w:t xml:space="preserve"> use the screenplay as intended, given remarks that “the executives were not happy with the quality of the screenplay, and that the story did not fit the theme of the show. […] the submarine chase sequence, apart from being too expensive to film, was particularly wrong for </w:t>
      </w:r>
      <w:r w:rsidR="00781951" w:rsidRPr="00391822">
        <w:rPr>
          <w:i/>
        </w:rPr>
        <w:t>Lawless Love.</w:t>
      </w:r>
      <w:r w:rsidR="00781951">
        <w:t xml:space="preserve">” </w:t>
      </w:r>
      <w:proofErr w:type="gramStart"/>
      <w:r w:rsidR="00781951">
        <w:t>(</w:t>
      </w:r>
      <w:proofErr w:type="spellStart"/>
      <w:r w:rsidR="00781951">
        <w:t>Compl</w:t>
      </w:r>
      <w:proofErr w:type="spellEnd"/>
      <w:r w:rsidR="00781951">
        <w:t>.</w:t>
      </w:r>
      <w:r w:rsidR="00F63681" w:rsidRPr="00F63681">
        <w:t xml:space="preserve"> </w:t>
      </w:r>
      <w:r w:rsidR="00F63681">
        <w:t>¶</w:t>
      </w:r>
      <w:r w:rsidR="00781951">
        <w:t xml:space="preserve"> 26).</w:t>
      </w:r>
      <w:proofErr w:type="gramEnd"/>
    </w:p>
    <w:p w14:paraId="12FCC26F" w14:textId="77777777" w:rsidR="00D9056A" w:rsidRDefault="00C93435" w:rsidP="00D9056A">
      <w:pPr>
        <w:pStyle w:val="NoSpacing"/>
        <w:spacing w:line="480" w:lineRule="auto"/>
      </w:pPr>
      <w:r>
        <w:lastRenderedPageBreak/>
        <w:tab/>
      </w:r>
      <w:r w:rsidR="00094D00">
        <w:t xml:space="preserve">Plaintiff cannot profit from the advertising revenue surrounding a screenplay it refuses to produce or display, and so has not been </w:t>
      </w:r>
      <w:r w:rsidR="002B3D31">
        <w:t xml:space="preserve">financially </w:t>
      </w:r>
      <w:r w:rsidR="00094D00">
        <w:t>harmed by Defendants’ actions</w:t>
      </w:r>
      <w:r w:rsidR="002B3D31">
        <w:t>.</w:t>
      </w:r>
    </w:p>
    <w:p w14:paraId="05BBE981" w14:textId="77777777" w:rsidR="007D4768" w:rsidRDefault="007D4768" w:rsidP="00D9056A">
      <w:pPr>
        <w:pStyle w:val="NoSpacing"/>
        <w:spacing w:line="480" w:lineRule="auto"/>
      </w:pPr>
    </w:p>
    <w:p w14:paraId="14F9B0CA" w14:textId="77777777" w:rsidR="00997E4E" w:rsidRDefault="00997E4E" w:rsidP="00997E4E">
      <w:pPr>
        <w:ind w:firstLine="720"/>
        <w:jc w:val="center"/>
        <w:rPr>
          <w:b/>
        </w:rPr>
      </w:pPr>
      <w:r>
        <w:rPr>
          <w:b/>
        </w:rPr>
        <w:t>IV. CONCLUSION</w:t>
      </w:r>
    </w:p>
    <w:p w14:paraId="49FFEE54" w14:textId="77777777" w:rsidR="00997E4E" w:rsidRDefault="00FF04AF" w:rsidP="00997E4E">
      <w:pPr>
        <w:ind w:firstLine="720"/>
      </w:pPr>
      <w:r>
        <w:t xml:space="preserve">Defendants have shown that the Copyright Act, and specifically 17 U.S.C. </w:t>
      </w:r>
      <w:r w:rsidRPr="00001A8C">
        <w:rPr>
          <w:rFonts w:ascii="Calibri" w:hAnsi="Calibri" w:cs="Calibri"/>
        </w:rPr>
        <w:t>§</w:t>
      </w:r>
      <w:r>
        <w:t xml:space="preserve"> 201(b), require a writing that establishes a work made for hire agreement to be signed and finalized prior to creation and delivery of the work in question. As Plaintiff failed to create or sign this writing prior to the completion and delivery of the screenplay, it has not followed the necessary protocol to secure copyright in the screenplay as a work made for hire. In the interest of protecting Defendant Lime’s freedom to exercise her copyright over her own creations, this Court should grant Defendants’ Motion for Judgment on the Pleadings under Fed. R. Civ. P. 12(c).</w:t>
      </w:r>
    </w:p>
    <w:p w14:paraId="7A66E826" w14:textId="77777777" w:rsidR="00D9056A" w:rsidRDefault="00D9056A" w:rsidP="004F0131">
      <w:pPr>
        <w:spacing w:line="240" w:lineRule="auto"/>
        <w:ind w:left="107"/>
        <w:rPr>
          <w:rFonts w:eastAsia="Times New Roman"/>
          <w:szCs w:val="24"/>
        </w:rPr>
      </w:pPr>
    </w:p>
    <w:p w14:paraId="58E4FFA0" w14:textId="77777777" w:rsidR="009A3842" w:rsidRDefault="009A3842" w:rsidP="004F0131">
      <w:pPr>
        <w:spacing w:line="240" w:lineRule="auto"/>
        <w:ind w:left="107"/>
        <w:rPr>
          <w:rFonts w:eastAsia="Times New Roman"/>
          <w:szCs w:val="24"/>
        </w:rPr>
      </w:pPr>
    </w:p>
    <w:p w14:paraId="642F86D9" w14:textId="77777777" w:rsidR="004F0131" w:rsidRDefault="004F0131" w:rsidP="004F0131">
      <w:pPr>
        <w:spacing w:line="240" w:lineRule="auto"/>
        <w:ind w:left="107"/>
        <w:rPr>
          <w:rFonts w:eastAsia="Times New Roman"/>
          <w:szCs w:val="24"/>
        </w:rPr>
      </w:pPr>
      <w:r w:rsidRPr="0043111B">
        <w:rPr>
          <w:rFonts w:eastAsia="Times New Roman"/>
          <w:szCs w:val="24"/>
        </w:rPr>
        <w:t xml:space="preserve">Dated:  </w:t>
      </w:r>
      <w:r w:rsidR="00390754">
        <w:rPr>
          <w:rFonts w:eastAsia="Times New Roman"/>
          <w:szCs w:val="24"/>
          <w:u w:val="single"/>
        </w:rPr>
        <w:t>March 15</w:t>
      </w:r>
      <w:r>
        <w:rPr>
          <w:rFonts w:eastAsia="Times New Roman"/>
          <w:szCs w:val="24"/>
          <w:u w:val="single"/>
        </w:rPr>
        <w:t>, 2012</w:t>
      </w:r>
      <w:r w:rsidRPr="0043111B">
        <w:rPr>
          <w:rFonts w:eastAsia="Times New Roman"/>
          <w:szCs w:val="24"/>
        </w:rPr>
        <w:tab/>
      </w:r>
      <w:r w:rsidRPr="0043111B">
        <w:rPr>
          <w:rFonts w:eastAsia="Times New Roman"/>
          <w:szCs w:val="24"/>
        </w:rPr>
        <w:tab/>
      </w:r>
      <w:r w:rsidRPr="0043111B">
        <w:rPr>
          <w:rFonts w:eastAsia="Times New Roman"/>
          <w:szCs w:val="24"/>
        </w:rPr>
        <w:tab/>
      </w:r>
      <w:r w:rsidRPr="0043111B">
        <w:rPr>
          <w:rFonts w:eastAsia="Times New Roman"/>
          <w:szCs w:val="24"/>
        </w:rPr>
        <w:tab/>
      </w:r>
      <w:r w:rsidRPr="0043111B">
        <w:rPr>
          <w:rFonts w:eastAsia="Times New Roman"/>
          <w:szCs w:val="24"/>
        </w:rPr>
        <w:tab/>
      </w:r>
      <w:proofErr w:type="gramStart"/>
      <w:r>
        <w:rPr>
          <w:rFonts w:eastAsia="Times New Roman"/>
          <w:szCs w:val="24"/>
        </w:rPr>
        <w:t>Respectfully</w:t>
      </w:r>
      <w:proofErr w:type="gramEnd"/>
      <w:r>
        <w:rPr>
          <w:rFonts w:eastAsia="Times New Roman"/>
          <w:szCs w:val="24"/>
        </w:rPr>
        <w:t xml:space="preserve"> submitted,</w:t>
      </w:r>
    </w:p>
    <w:p w14:paraId="0E5517FD" w14:textId="77777777" w:rsidR="004F0131" w:rsidRDefault="004F0131" w:rsidP="004F0131">
      <w:pPr>
        <w:spacing w:line="240" w:lineRule="auto"/>
        <w:ind w:left="107"/>
        <w:rPr>
          <w:rFonts w:eastAsia="Times New Roman"/>
          <w:szCs w:val="24"/>
        </w:rPr>
      </w:pPr>
      <w:r>
        <w:rPr>
          <w:rFonts w:eastAsia="Times New Roman"/>
          <w:szCs w:val="24"/>
        </w:rPr>
        <w:tab/>
      </w:r>
      <w:r>
        <w:rPr>
          <w:rFonts w:eastAsia="Times New Roman"/>
          <w:szCs w:val="24"/>
        </w:rPr>
        <w:tab/>
      </w:r>
      <w:r>
        <w:rPr>
          <w:rFonts w:eastAsia="Times New Roman"/>
          <w:szCs w:val="24"/>
        </w:rPr>
        <w:tab/>
      </w:r>
      <w:r>
        <w:rPr>
          <w:rFonts w:eastAsia="Times New Roman"/>
          <w:szCs w:val="24"/>
        </w:rPr>
        <w:tab/>
      </w:r>
      <w:r>
        <w:rPr>
          <w:rFonts w:eastAsia="Times New Roman"/>
          <w:szCs w:val="24"/>
        </w:rPr>
        <w:tab/>
      </w:r>
      <w:r>
        <w:rPr>
          <w:rFonts w:eastAsia="Times New Roman"/>
          <w:szCs w:val="24"/>
        </w:rPr>
        <w:tab/>
      </w:r>
      <w:r>
        <w:rPr>
          <w:rFonts w:eastAsia="Times New Roman"/>
          <w:szCs w:val="24"/>
        </w:rPr>
        <w:tab/>
      </w:r>
      <w:r>
        <w:rPr>
          <w:rFonts w:eastAsia="Times New Roman"/>
          <w:szCs w:val="24"/>
        </w:rPr>
        <w:tab/>
      </w:r>
    </w:p>
    <w:p w14:paraId="718600A0" w14:textId="77777777" w:rsidR="004F0131" w:rsidRDefault="004F0131" w:rsidP="004F0131">
      <w:pPr>
        <w:spacing w:line="240" w:lineRule="auto"/>
        <w:ind w:left="107"/>
        <w:rPr>
          <w:rFonts w:eastAsia="Times New Roman"/>
          <w:szCs w:val="24"/>
        </w:rPr>
      </w:pPr>
      <w:r>
        <w:rPr>
          <w:rFonts w:eastAsia="Times New Roman"/>
          <w:szCs w:val="24"/>
        </w:rPr>
        <w:tab/>
      </w:r>
      <w:r>
        <w:rPr>
          <w:rFonts w:eastAsia="Times New Roman"/>
          <w:szCs w:val="24"/>
        </w:rPr>
        <w:tab/>
      </w:r>
      <w:r>
        <w:rPr>
          <w:rFonts w:eastAsia="Times New Roman"/>
          <w:szCs w:val="24"/>
        </w:rPr>
        <w:tab/>
      </w:r>
      <w:r>
        <w:rPr>
          <w:rFonts w:eastAsia="Times New Roman"/>
          <w:szCs w:val="24"/>
        </w:rPr>
        <w:tab/>
      </w:r>
      <w:r>
        <w:rPr>
          <w:rFonts w:eastAsia="Times New Roman"/>
          <w:szCs w:val="24"/>
        </w:rPr>
        <w:tab/>
      </w:r>
      <w:r>
        <w:rPr>
          <w:rFonts w:eastAsia="Times New Roman"/>
          <w:szCs w:val="24"/>
        </w:rPr>
        <w:tab/>
      </w:r>
      <w:r>
        <w:rPr>
          <w:rFonts w:eastAsia="Times New Roman"/>
          <w:szCs w:val="24"/>
        </w:rPr>
        <w:tab/>
      </w:r>
      <w:r>
        <w:rPr>
          <w:rFonts w:eastAsia="Times New Roman"/>
          <w:szCs w:val="24"/>
        </w:rPr>
        <w:tab/>
        <w:t>___________________________</w:t>
      </w:r>
    </w:p>
    <w:p w14:paraId="3CD2F169" w14:textId="77777777" w:rsidR="004F0131" w:rsidRDefault="004F0131" w:rsidP="004F0131">
      <w:pPr>
        <w:spacing w:line="240" w:lineRule="auto"/>
        <w:ind w:left="107"/>
        <w:rPr>
          <w:rFonts w:eastAsia="Times New Roman"/>
          <w:szCs w:val="24"/>
        </w:rPr>
      </w:pPr>
      <w:r>
        <w:rPr>
          <w:rFonts w:eastAsia="Times New Roman"/>
          <w:szCs w:val="24"/>
        </w:rPr>
        <w:tab/>
      </w:r>
      <w:r>
        <w:rPr>
          <w:rFonts w:eastAsia="Times New Roman"/>
          <w:szCs w:val="24"/>
        </w:rPr>
        <w:tab/>
      </w:r>
      <w:r>
        <w:rPr>
          <w:rFonts w:eastAsia="Times New Roman"/>
          <w:szCs w:val="24"/>
        </w:rPr>
        <w:tab/>
      </w:r>
      <w:r>
        <w:rPr>
          <w:rFonts w:eastAsia="Times New Roman"/>
          <w:szCs w:val="24"/>
        </w:rPr>
        <w:tab/>
      </w:r>
      <w:r>
        <w:rPr>
          <w:rFonts w:eastAsia="Times New Roman"/>
          <w:szCs w:val="24"/>
        </w:rPr>
        <w:tab/>
      </w:r>
      <w:r>
        <w:rPr>
          <w:rFonts w:eastAsia="Times New Roman"/>
          <w:szCs w:val="24"/>
        </w:rPr>
        <w:tab/>
      </w:r>
      <w:r>
        <w:rPr>
          <w:rFonts w:eastAsia="Times New Roman"/>
          <w:szCs w:val="24"/>
        </w:rPr>
        <w:tab/>
      </w:r>
      <w:r>
        <w:rPr>
          <w:rFonts w:eastAsia="Times New Roman"/>
          <w:szCs w:val="24"/>
        </w:rPr>
        <w:tab/>
        <w:t>Attorney for Defendants</w:t>
      </w:r>
    </w:p>
    <w:p w14:paraId="03842995" w14:textId="77777777" w:rsidR="004F0131" w:rsidRDefault="004F0131" w:rsidP="004F0131">
      <w:pPr>
        <w:spacing w:line="240" w:lineRule="auto"/>
        <w:ind w:left="107"/>
        <w:rPr>
          <w:rFonts w:eastAsia="Times New Roman"/>
          <w:szCs w:val="24"/>
        </w:rPr>
      </w:pPr>
    </w:p>
    <w:p w14:paraId="003BE3D8" w14:textId="77777777" w:rsidR="004F0131" w:rsidRDefault="00124F22" w:rsidP="004F0131">
      <w:pPr>
        <w:spacing w:line="240" w:lineRule="auto"/>
        <w:ind w:left="107"/>
        <w:rPr>
          <w:rFonts w:eastAsia="Times New Roman"/>
          <w:szCs w:val="24"/>
        </w:rPr>
      </w:pPr>
      <w:r>
        <w:rPr>
          <w:rFonts w:eastAsia="Times New Roman"/>
          <w:szCs w:val="24"/>
        </w:rPr>
        <w:tab/>
      </w:r>
      <w:r>
        <w:rPr>
          <w:rFonts w:eastAsia="Times New Roman"/>
          <w:szCs w:val="24"/>
        </w:rPr>
        <w:tab/>
      </w:r>
      <w:r>
        <w:rPr>
          <w:rFonts w:eastAsia="Times New Roman"/>
          <w:szCs w:val="24"/>
        </w:rPr>
        <w:tab/>
      </w:r>
      <w:r>
        <w:rPr>
          <w:rFonts w:eastAsia="Times New Roman"/>
          <w:szCs w:val="24"/>
        </w:rPr>
        <w:tab/>
      </w:r>
      <w:r>
        <w:rPr>
          <w:rFonts w:eastAsia="Times New Roman"/>
          <w:szCs w:val="24"/>
        </w:rPr>
        <w:tab/>
      </w:r>
      <w:r>
        <w:rPr>
          <w:rFonts w:eastAsia="Times New Roman"/>
          <w:szCs w:val="24"/>
        </w:rPr>
        <w:tab/>
      </w:r>
      <w:r>
        <w:rPr>
          <w:rFonts w:eastAsia="Times New Roman"/>
          <w:szCs w:val="24"/>
        </w:rPr>
        <w:tab/>
      </w:r>
      <w:r>
        <w:rPr>
          <w:rFonts w:eastAsia="Times New Roman"/>
          <w:szCs w:val="24"/>
        </w:rPr>
        <w:tab/>
        <w:t>Name</w:t>
      </w:r>
    </w:p>
    <w:p w14:paraId="14A0771D" w14:textId="77777777" w:rsidR="004F0131" w:rsidRPr="0043111B" w:rsidRDefault="004F0131" w:rsidP="004F0131">
      <w:pPr>
        <w:spacing w:line="240" w:lineRule="auto"/>
        <w:ind w:left="107"/>
        <w:rPr>
          <w:rFonts w:eastAsia="Times New Roman"/>
          <w:szCs w:val="24"/>
        </w:rPr>
      </w:pPr>
      <w:r>
        <w:rPr>
          <w:rFonts w:eastAsia="Times New Roman"/>
          <w:szCs w:val="24"/>
        </w:rPr>
        <w:tab/>
      </w:r>
      <w:r>
        <w:rPr>
          <w:rFonts w:eastAsia="Times New Roman"/>
          <w:szCs w:val="24"/>
        </w:rPr>
        <w:tab/>
      </w:r>
      <w:r>
        <w:rPr>
          <w:rFonts w:eastAsia="Times New Roman"/>
          <w:szCs w:val="24"/>
        </w:rPr>
        <w:tab/>
      </w:r>
      <w:r>
        <w:rPr>
          <w:rFonts w:eastAsia="Times New Roman"/>
          <w:szCs w:val="24"/>
        </w:rPr>
        <w:tab/>
      </w:r>
      <w:r>
        <w:rPr>
          <w:rFonts w:eastAsia="Times New Roman"/>
          <w:szCs w:val="24"/>
        </w:rPr>
        <w:tab/>
      </w:r>
      <w:r>
        <w:rPr>
          <w:rFonts w:eastAsia="Times New Roman"/>
          <w:szCs w:val="24"/>
        </w:rPr>
        <w:tab/>
      </w:r>
      <w:r>
        <w:rPr>
          <w:rFonts w:eastAsia="Times New Roman"/>
          <w:szCs w:val="24"/>
        </w:rPr>
        <w:tab/>
      </w:r>
      <w:r>
        <w:rPr>
          <w:rFonts w:eastAsia="Times New Roman"/>
          <w:szCs w:val="24"/>
        </w:rPr>
        <w:tab/>
        <w:t>Att</w:t>
      </w:r>
      <w:bookmarkStart w:id="0" w:name="_GoBack"/>
      <w:bookmarkEnd w:id="0"/>
      <w:r>
        <w:rPr>
          <w:rFonts w:eastAsia="Times New Roman"/>
          <w:szCs w:val="24"/>
        </w:rPr>
        <w:t xml:space="preserve">orney: #444454 </w:t>
      </w:r>
    </w:p>
    <w:p w14:paraId="6B065C5D" w14:textId="77777777" w:rsidR="004F0131" w:rsidRPr="0043111B" w:rsidRDefault="004F0131" w:rsidP="004F0131">
      <w:pPr>
        <w:spacing w:line="240" w:lineRule="auto"/>
        <w:ind w:left="107"/>
        <w:rPr>
          <w:rFonts w:eastAsia="Times New Roman"/>
          <w:szCs w:val="24"/>
        </w:rPr>
      </w:pPr>
      <w:r w:rsidRPr="0043111B">
        <w:rPr>
          <w:rFonts w:eastAsia="Times New Roman"/>
          <w:szCs w:val="24"/>
        </w:rPr>
        <w:tab/>
      </w:r>
      <w:r w:rsidRPr="0043111B">
        <w:rPr>
          <w:rFonts w:eastAsia="Times New Roman"/>
          <w:szCs w:val="24"/>
        </w:rPr>
        <w:tab/>
      </w:r>
      <w:r w:rsidRPr="0043111B">
        <w:rPr>
          <w:rFonts w:eastAsia="Times New Roman"/>
          <w:szCs w:val="24"/>
        </w:rPr>
        <w:tab/>
      </w:r>
      <w:r w:rsidRPr="0043111B">
        <w:rPr>
          <w:rFonts w:eastAsia="Times New Roman"/>
          <w:szCs w:val="24"/>
        </w:rPr>
        <w:tab/>
      </w:r>
      <w:r w:rsidRPr="0043111B">
        <w:rPr>
          <w:rFonts w:eastAsia="Times New Roman"/>
          <w:szCs w:val="24"/>
        </w:rPr>
        <w:tab/>
      </w:r>
      <w:r w:rsidRPr="0043111B">
        <w:rPr>
          <w:rFonts w:eastAsia="Times New Roman"/>
          <w:szCs w:val="24"/>
        </w:rPr>
        <w:tab/>
      </w:r>
      <w:r w:rsidRPr="0043111B">
        <w:rPr>
          <w:rFonts w:eastAsia="Times New Roman"/>
          <w:szCs w:val="24"/>
        </w:rPr>
        <w:tab/>
      </w:r>
      <w:r w:rsidRPr="0043111B">
        <w:rPr>
          <w:rFonts w:eastAsia="Times New Roman"/>
          <w:szCs w:val="24"/>
        </w:rPr>
        <w:tab/>
      </w:r>
      <w:r>
        <w:rPr>
          <w:rFonts w:eastAsia="Times New Roman"/>
          <w:szCs w:val="24"/>
        </w:rPr>
        <w:t>Capital</w:t>
      </w:r>
      <w:r w:rsidRPr="0043111B">
        <w:rPr>
          <w:rFonts w:eastAsia="Times New Roman"/>
          <w:szCs w:val="24"/>
        </w:rPr>
        <w:t xml:space="preserve"> City, Moot 59321</w:t>
      </w:r>
    </w:p>
    <w:p w14:paraId="6E125945" w14:textId="77777777" w:rsidR="004F0131" w:rsidRPr="0043111B" w:rsidRDefault="004F0131" w:rsidP="004F0131">
      <w:pPr>
        <w:spacing w:line="240" w:lineRule="auto"/>
        <w:ind w:left="107"/>
        <w:rPr>
          <w:rFonts w:eastAsia="Times New Roman"/>
          <w:szCs w:val="24"/>
        </w:rPr>
      </w:pPr>
      <w:r w:rsidRPr="0043111B">
        <w:rPr>
          <w:rFonts w:eastAsia="Times New Roman"/>
          <w:szCs w:val="24"/>
        </w:rPr>
        <w:tab/>
      </w:r>
      <w:r w:rsidRPr="0043111B">
        <w:rPr>
          <w:rFonts w:eastAsia="Times New Roman"/>
          <w:szCs w:val="24"/>
        </w:rPr>
        <w:tab/>
      </w:r>
      <w:r w:rsidRPr="0043111B">
        <w:rPr>
          <w:rFonts w:eastAsia="Times New Roman"/>
          <w:szCs w:val="24"/>
        </w:rPr>
        <w:tab/>
      </w:r>
      <w:r w:rsidRPr="0043111B">
        <w:rPr>
          <w:rFonts w:eastAsia="Times New Roman"/>
          <w:szCs w:val="24"/>
        </w:rPr>
        <w:tab/>
      </w:r>
      <w:r w:rsidRPr="0043111B">
        <w:rPr>
          <w:rFonts w:eastAsia="Times New Roman"/>
          <w:szCs w:val="24"/>
        </w:rPr>
        <w:tab/>
      </w:r>
      <w:r w:rsidRPr="0043111B">
        <w:rPr>
          <w:rFonts w:eastAsia="Times New Roman"/>
          <w:szCs w:val="24"/>
        </w:rPr>
        <w:tab/>
      </w:r>
      <w:r w:rsidRPr="0043111B">
        <w:rPr>
          <w:rFonts w:eastAsia="Times New Roman"/>
          <w:szCs w:val="24"/>
        </w:rPr>
        <w:tab/>
      </w:r>
      <w:r w:rsidRPr="0043111B">
        <w:rPr>
          <w:rFonts w:eastAsia="Times New Roman"/>
          <w:szCs w:val="24"/>
        </w:rPr>
        <w:tab/>
        <w:t xml:space="preserve">(123) </w:t>
      </w:r>
      <w:r>
        <w:rPr>
          <w:rFonts w:eastAsia="Times New Roman"/>
          <w:szCs w:val="24"/>
        </w:rPr>
        <w:t>678</w:t>
      </w:r>
      <w:r w:rsidRPr="0043111B">
        <w:rPr>
          <w:rFonts w:eastAsia="Times New Roman"/>
          <w:szCs w:val="24"/>
        </w:rPr>
        <w:t>-</w:t>
      </w:r>
      <w:r>
        <w:rPr>
          <w:rFonts w:eastAsia="Times New Roman"/>
          <w:szCs w:val="24"/>
        </w:rPr>
        <w:t>9012</w:t>
      </w:r>
    </w:p>
    <w:p w14:paraId="50F7974A" w14:textId="77777777" w:rsidR="00997E4E" w:rsidRPr="00997E4E" w:rsidRDefault="004F0131" w:rsidP="004F0131">
      <w:pPr>
        <w:spacing w:line="240" w:lineRule="auto"/>
        <w:ind w:left="107"/>
      </w:pPr>
      <w:r w:rsidRPr="0043111B">
        <w:rPr>
          <w:rFonts w:eastAsia="Times New Roman"/>
          <w:szCs w:val="24"/>
        </w:rPr>
        <w:tab/>
      </w:r>
      <w:r w:rsidRPr="0043111B">
        <w:rPr>
          <w:rFonts w:eastAsia="Times New Roman"/>
          <w:szCs w:val="24"/>
        </w:rPr>
        <w:tab/>
      </w:r>
      <w:r w:rsidRPr="0043111B">
        <w:rPr>
          <w:rFonts w:eastAsia="Times New Roman"/>
          <w:szCs w:val="24"/>
        </w:rPr>
        <w:tab/>
      </w:r>
      <w:r w:rsidRPr="0043111B">
        <w:rPr>
          <w:rFonts w:eastAsia="Times New Roman"/>
          <w:szCs w:val="24"/>
        </w:rPr>
        <w:tab/>
      </w:r>
      <w:r w:rsidRPr="0043111B">
        <w:rPr>
          <w:rFonts w:eastAsia="Times New Roman"/>
          <w:szCs w:val="24"/>
        </w:rPr>
        <w:tab/>
      </w:r>
      <w:r w:rsidRPr="0043111B">
        <w:rPr>
          <w:rFonts w:eastAsia="Times New Roman"/>
          <w:szCs w:val="24"/>
        </w:rPr>
        <w:tab/>
      </w:r>
      <w:r w:rsidRPr="0043111B">
        <w:rPr>
          <w:rFonts w:eastAsia="Times New Roman"/>
          <w:szCs w:val="24"/>
        </w:rPr>
        <w:tab/>
      </w:r>
      <w:r w:rsidRPr="0043111B">
        <w:rPr>
          <w:rFonts w:eastAsia="Times New Roman"/>
          <w:szCs w:val="24"/>
        </w:rPr>
        <w:tab/>
      </w:r>
      <w:r w:rsidR="00124F22">
        <w:rPr>
          <w:rFonts w:eastAsia="Times New Roman"/>
          <w:szCs w:val="24"/>
        </w:rPr>
        <w:t>Email address</w:t>
      </w:r>
    </w:p>
    <w:sectPr w:rsidR="00997E4E" w:rsidRPr="00997E4E" w:rsidSect="006712D7">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D6C673" w14:textId="77777777" w:rsidR="000B540F" w:rsidRDefault="000B540F" w:rsidP="00200327">
      <w:pPr>
        <w:spacing w:line="240" w:lineRule="auto"/>
      </w:pPr>
      <w:r>
        <w:separator/>
      </w:r>
    </w:p>
  </w:endnote>
  <w:endnote w:type="continuationSeparator" w:id="0">
    <w:p w14:paraId="7DDA37C0" w14:textId="77777777" w:rsidR="000B540F" w:rsidRDefault="000B540F" w:rsidP="0020032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73C906" w14:textId="77777777" w:rsidR="000B540F" w:rsidRDefault="000B540F" w:rsidP="00200327">
      <w:pPr>
        <w:spacing w:line="240" w:lineRule="auto"/>
      </w:pPr>
      <w:r>
        <w:separator/>
      </w:r>
    </w:p>
  </w:footnote>
  <w:footnote w:type="continuationSeparator" w:id="0">
    <w:p w14:paraId="75473210" w14:textId="77777777" w:rsidR="000B540F" w:rsidRDefault="000B540F" w:rsidP="00200327">
      <w:pPr>
        <w:spacing w:line="240" w:lineRule="auto"/>
      </w:pPr>
      <w:r>
        <w:continuationSeparator/>
      </w:r>
    </w:p>
  </w:footnote>
  <w:footnote w:id="1">
    <w:p w14:paraId="13746D84" w14:textId="77777777" w:rsidR="00EA151D" w:rsidRDefault="00EA151D">
      <w:pPr>
        <w:pStyle w:val="FootnoteText"/>
      </w:pPr>
      <w:r>
        <w:rPr>
          <w:rStyle w:val="FootnoteReference"/>
        </w:rPr>
        <w:footnoteRef/>
      </w:r>
      <w:r>
        <w:t xml:space="preserve"> </w:t>
      </w:r>
      <w:r w:rsidR="00D9056A">
        <w:t xml:space="preserve">United States Copyright Office. “Barbara Ringer, 1925-2009”. </w:t>
      </w:r>
      <w:r w:rsidR="00D9056A" w:rsidRPr="00D9056A">
        <w:rPr>
          <w:i/>
        </w:rPr>
        <w:t>Copyright Notices</w:t>
      </w:r>
      <w:r w:rsidR="00D9056A">
        <w:t>, April 2009. h</w:t>
      </w:r>
      <w:r w:rsidR="00D9056A" w:rsidRPr="00D9056A">
        <w:t>ttp://www.copyright.gov/history/bios/barabara-ringer-special-edition-2009-04.pdf</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058B00" w14:textId="77777777" w:rsidR="00997E4E" w:rsidRDefault="00195AD5">
    <w:pPr>
      <w:pStyle w:val="Header"/>
      <w:jc w:val="right"/>
    </w:pPr>
    <w:sdt>
      <w:sdtPr>
        <w:id w:val="2034367598"/>
        <w:docPartObj>
          <w:docPartGallery w:val="Page Numbers (Top of Page)"/>
          <w:docPartUnique/>
        </w:docPartObj>
      </w:sdtPr>
      <w:sdtEndPr>
        <w:rPr>
          <w:noProof/>
        </w:rPr>
      </w:sdtEndPr>
      <w:sdtContent>
        <w:r w:rsidR="00997E4E">
          <w:fldChar w:fldCharType="begin"/>
        </w:r>
        <w:r w:rsidR="00997E4E">
          <w:instrText xml:space="preserve"> PAGE   \* MERGEFORMAT </w:instrText>
        </w:r>
        <w:r w:rsidR="00997E4E">
          <w:fldChar w:fldCharType="separate"/>
        </w:r>
        <w:r>
          <w:rPr>
            <w:noProof/>
          </w:rPr>
          <w:t>12</w:t>
        </w:r>
        <w:r w:rsidR="00997E4E">
          <w:rPr>
            <w:noProof/>
          </w:rPr>
          <w:fldChar w:fldCharType="end"/>
        </w:r>
      </w:sdtContent>
    </w:sdt>
  </w:p>
  <w:p w14:paraId="78B22EA7" w14:textId="77777777" w:rsidR="00997E4E" w:rsidRDefault="00997E4E">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95300"/>
    <w:multiLevelType w:val="hybridMultilevel"/>
    <w:tmpl w:val="851053CA"/>
    <w:lvl w:ilvl="0" w:tplc="C8EED2B6">
      <w:start w:val="1"/>
      <w:numFmt w:val="decimal"/>
      <w:lvlText w:val="%1."/>
      <w:lvlJc w:val="left"/>
      <w:pPr>
        <w:ind w:left="1080" w:hanging="360"/>
      </w:pPr>
      <w:rPr>
        <w:rFonts w:hint="default"/>
        <w:i/>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81A10AA"/>
    <w:multiLevelType w:val="hybridMultilevel"/>
    <w:tmpl w:val="F67A2794"/>
    <w:lvl w:ilvl="0" w:tplc="993AB3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A423069"/>
    <w:multiLevelType w:val="hybridMultilevel"/>
    <w:tmpl w:val="B0B828FA"/>
    <w:lvl w:ilvl="0" w:tplc="9CF4BE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3A671FD"/>
    <w:multiLevelType w:val="hybridMultilevel"/>
    <w:tmpl w:val="50145E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BE14864"/>
    <w:multiLevelType w:val="hybridMultilevel"/>
    <w:tmpl w:val="48FE8B7E"/>
    <w:lvl w:ilvl="0" w:tplc="258242B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9EB595D"/>
    <w:multiLevelType w:val="hybridMultilevel"/>
    <w:tmpl w:val="137CBF18"/>
    <w:lvl w:ilvl="0" w:tplc="A37AEC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FB9024E"/>
    <w:multiLevelType w:val="hybridMultilevel"/>
    <w:tmpl w:val="863422E8"/>
    <w:lvl w:ilvl="0" w:tplc="B712B02E">
      <w:start w:val="1"/>
      <w:numFmt w:val="upp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30B12ABD"/>
    <w:multiLevelType w:val="hybridMultilevel"/>
    <w:tmpl w:val="C154265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33CC5A76"/>
    <w:multiLevelType w:val="hybridMultilevel"/>
    <w:tmpl w:val="FEC464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390F3EEE"/>
    <w:multiLevelType w:val="hybridMultilevel"/>
    <w:tmpl w:val="96A0146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3BFB53B6"/>
    <w:multiLevelType w:val="hybridMultilevel"/>
    <w:tmpl w:val="560A4F62"/>
    <w:lvl w:ilvl="0" w:tplc="8B720D66">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8371A24"/>
    <w:multiLevelType w:val="hybridMultilevel"/>
    <w:tmpl w:val="FC168B0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C4771D3"/>
    <w:multiLevelType w:val="hybridMultilevel"/>
    <w:tmpl w:val="A35C7CF6"/>
    <w:lvl w:ilvl="0" w:tplc="63C625F0">
      <w:start w:val="1"/>
      <w:numFmt w:val="lowerLetter"/>
      <w:lvlText w:val="%1."/>
      <w:lvlJc w:val="left"/>
      <w:pPr>
        <w:ind w:left="1080" w:hanging="360"/>
      </w:pPr>
      <w:rPr>
        <w:rFonts w:hint="default"/>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4ED16018"/>
    <w:multiLevelType w:val="hybridMultilevel"/>
    <w:tmpl w:val="915C0AE4"/>
    <w:lvl w:ilvl="0" w:tplc="5AD2A5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53BA4123"/>
    <w:multiLevelType w:val="hybridMultilevel"/>
    <w:tmpl w:val="45005F4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nsid w:val="58AC19AD"/>
    <w:multiLevelType w:val="hybridMultilevel"/>
    <w:tmpl w:val="E036FE1A"/>
    <w:lvl w:ilvl="0" w:tplc="3266EB2E">
      <w:start w:val="1"/>
      <w:numFmt w:val="decimal"/>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5B7B4CF7"/>
    <w:multiLevelType w:val="hybridMultilevel"/>
    <w:tmpl w:val="FC0C10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4A724B1"/>
    <w:multiLevelType w:val="hybridMultilevel"/>
    <w:tmpl w:val="976C7F76"/>
    <w:lvl w:ilvl="0" w:tplc="A8BE04DA">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6A2D20AC"/>
    <w:multiLevelType w:val="hybridMultilevel"/>
    <w:tmpl w:val="99549D76"/>
    <w:lvl w:ilvl="0" w:tplc="C7AEDA48">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72D9491D"/>
    <w:multiLevelType w:val="hybridMultilevel"/>
    <w:tmpl w:val="F264A70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ECE6667"/>
    <w:multiLevelType w:val="hybridMultilevel"/>
    <w:tmpl w:val="CE260574"/>
    <w:lvl w:ilvl="0" w:tplc="E5E8847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5"/>
  </w:num>
  <w:num w:numId="2">
    <w:abstractNumId w:val="18"/>
  </w:num>
  <w:num w:numId="3">
    <w:abstractNumId w:val="4"/>
  </w:num>
  <w:num w:numId="4">
    <w:abstractNumId w:val="6"/>
  </w:num>
  <w:num w:numId="5">
    <w:abstractNumId w:val="0"/>
  </w:num>
  <w:num w:numId="6">
    <w:abstractNumId w:val="20"/>
  </w:num>
  <w:num w:numId="7">
    <w:abstractNumId w:val="12"/>
  </w:num>
  <w:num w:numId="8">
    <w:abstractNumId w:val="13"/>
  </w:num>
  <w:num w:numId="9">
    <w:abstractNumId w:val="2"/>
  </w:num>
  <w:num w:numId="10">
    <w:abstractNumId w:val="10"/>
  </w:num>
  <w:num w:numId="11">
    <w:abstractNumId w:val="11"/>
  </w:num>
  <w:num w:numId="12">
    <w:abstractNumId w:val="9"/>
  </w:num>
  <w:num w:numId="13">
    <w:abstractNumId w:val="1"/>
  </w:num>
  <w:num w:numId="14">
    <w:abstractNumId w:val="7"/>
  </w:num>
  <w:num w:numId="15">
    <w:abstractNumId w:val="14"/>
  </w:num>
  <w:num w:numId="16">
    <w:abstractNumId w:val="8"/>
  </w:num>
  <w:num w:numId="17">
    <w:abstractNumId w:val="3"/>
  </w:num>
  <w:num w:numId="18">
    <w:abstractNumId w:val="17"/>
  </w:num>
  <w:num w:numId="19">
    <w:abstractNumId w:val="19"/>
  </w:num>
  <w:num w:numId="20">
    <w:abstractNumId w:val="16"/>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6C89"/>
    <w:rsid w:val="00002FD0"/>
    <w:rsid w:val="000130AA"/>
    <w:rsid w:val="000134F6"/>
    <w:rsid w:val="00016FFC"/>
    <w:rsid w:val="00020C3D"/>
    <w:rsid w:val="000271D6"/>
    <w:rsid w:val="00035FCD"/>
    <w:rsid w:val="000513B2"/>
    <w:rsid w:val="00055CA8"/>
    <w:rsid w:val="00057C31"/>
    <w:rsid w:val="00091A34"/>
    <w:rsid w:val="00094D00"/>
    <w:rsid w:val="00097B1C"/>
    <w:rsid w:val="000A18B1"/>
    <w:rsid w:val="000B540F"/>
    <w:rsid w:val="000F4DCD"/>
    <w:rsid w:val="000F6353"/>
    <w:rsid w:val="0010237F"/>
    <w:rsid w:val="00124F22"/>
    <w:rsid w:val="0014438C"/>
    <w:rsid w:val="00144543"/>
    <w:rsid w:val="001470FD"/>
    <w:rsid w:val="0016205C"/>
    <w:rsid w:val="00174A37"/>
    <w:rsid w:val="00182036"/>
    <w:rsid w:val="00183AE7"/>
    <w:rsid w:val="00192EFB"/>
    <w:rsid w:val="00195AD5"/>
    <w:rsid w:val="001C6CB8"/>
    <w:rsid w:val="001D0AAD"/>
    <w:rsid w:val="001D0BDA"/>
    <w:rsid w:val="001F4692"/>
    <w:rsid w:val="00200327"/>
    <w:rsid w:val="0020175B"/>
    <w:rsid w:val="002048DE"/>
    <w:rsid w:val="0022280A"/>
    <w:rsid w:val="00240672"/>
    <w:rsid w:val="00246507"/>
    <w:rsid w:val="002478D2"/>
    <w:rsid w:val="00257F36"/>
    <w:rsid w:val="0026147C"/>
    <w:rsid w:val="00264749"/>
    <w:rsid w:val="00276B2F"/>
    <w:rsid w:val="00280D42"/>
    <w:rsid w:val="002817C4"/>
    <w:rsid w:val="00287821"/>
    <w:rsid w:val="00294217"/>
    <w:rsid w:val="0029690B"/>
    <w:rsid w:val="002B091D"/>
    <w:rsid w:val="002B0A8C"/>
    <w:rsid w:val="002B3D31"/>
    <w:rsid w:val="002B5A5E"/>
    <w:rsid w:val="002C0140"/>
    <w:rsid w:val="002E7D28"/>
    <w:rsid w:val="0031598F"/>
    <w:rsid w:val="00325DA5"/>
    <w:rsid w:val="0033038B"/>
    <w:rsid w:val="0033532E"/>
    <w:rsid w:val="00337C0A"/>
    <w:rsid w:val="00353D28"/>
    <w:rsid w:val="00355828"/>
    <w:rsid w:val="003707B1"/>
    <w:rsid w:val="00375412"/>
    <w:rsid w:val="00377202"/>
    <w:rsid w:val="00390754"/>
    <w:rsid w:val="00390D9C"/>
    <w:rsid w:val="003A5EC2"/>
    <w:rsid w:val="003B2C1F"/>
    <w:rsid w:val="003B4781"/>
    <w:rsid w:val="003B6E82"/>
    <w:rsid w:val="003D784C"/>
    <w:rsid w:val="003E32D9"/>
    <w:rsid w:val="003E5A1D"/>
    <w:rsid w:val="00402A5A"/>
    <w:rsid w:val="0040340D"/>
    <w:rsid w:val="00410B16"/>
    <w:rsid w:val="00413ED1"/>
    <w:rsid w:val="00423CD9"/>
    <w:rsid w:val="00452A27"/>
    <w:rsid w:val="00462EB2"/>
    <w:rsid w:val="00481D8B"/>
    <w:rsid w:val="00497611"/>
    <w:rsid w:val="004B69A9"/>
    <w:rsid w:val="004C5817"/>
    <w:rsid w:val="004C6B02"/>
    <w:rsid w:val="004F0131"/>
    <w:rsid w:val="004F7B17"/>
    <w:rsid w:val="00504E11"/>
    <w:rsid w:val="00507D94"/>
    <w:rsid w:val="005152B7"/>
    <w:rsid w:val="005157D8"/>
    <w:rsid w:val="005247A8"/>
    <w:rsid w:val="0054357C"/>
    <w:rsid w:val="00552AD5"/>
    <w:rsid w:val="0056663D"/>
    <w:rsid w:val="00570533"/>
    <w:rsid w:val="005743EA"/>
    <w:rsid w:val="00580E08"/>
    <w:rsid w:val="00587DCF"/>
    <w:rsid w:val="00591812"/>
    <w:rsid w:val="00591C10"/>
    <w:rsid w:val="00592351"/>
    <w:rsid w:val="00594EAA"/>
    <w:rsid w:val="005B5AAC"/>
    <w:rsid w:val="005C3112"/>
    <w:rsid w:val="005C3F74"/>
    <w:rsid w:val="005D6C89"/>
    <w:rsid w:val="00600113"/>
    <w:rsid w:val="006030BD"/>
    <w:rsid w:val="00604BC0"/>
    <w:rsid w:val="00605CF1"/>
    <w:rsid w:val="00617AC2"/>
    <w:rsid w:val="00657475"/>
    <w:rsid w:val="00663C90"/>
    <w:rsid w:val="00665572"/>
    <w:rsid w:val="006712D7"/>
    <w:rsid w:val="00683B56"/>
    <w:rsid w:val="00684A29"/>
    <w:rsid w:val="00695592"/>
    <w:rsid w:val="006C612B"/>
    <w:rsid w:val="006D351D"/>
    <w:rsid w:val="006D39A6"/>
    <w:rsid w:val="006D44B8"/>
    <w:rsid w:val="006D7775"/>
    <w:rsid w:val="006E0AB7"/>
    <w:rsid w:val="006E0BAD"/>
    <w:rsid w:val="006E3148"/>
    <w:rsid w:val="006E57AC"/>
    <w:rsid w:val="006E6B49"/>
    <w:rsid w:val="006F61F3"/>
    <w:rsid w:val="007046C5"/>
    <w:rsid w:val="00706158"/>
    <w:rsid w:val="00725A43"/>
    <w:rsid w:val="007379A0"/>
    <w:rsid w:val="007458DD"/>
    <w:rsid w:val="0077103A"/>
    <w:rsid w:val="00773BE9"/>
    <w:rsid w:val="00776B4B"/>
    <w:rsid w:val="007778C1"/>
    <w:rsid w:val="00781951"/>
    <w:rsid w:val="00783775"/>
    <w:rsid w:val="007A11B4"/>
    <w:rsid w:val="007A3602"/>
    <w:rsid w:val="007B3548"/>
    <w:rsid w:val="007C2735"/>
    <w:rsid w:val="007D077B"/>
    <w:rsid w:val="007D4768"/>
    <w:rsid w:val="007E1935"/>
    <w:rsid w:val="007E35D3"/>
    <w:rsid w:val="007F0371"/>
    <w:rsid w:val="007F3571"/>
    <w:rsid w:val="00800FD3"/>
    <w:rsid w:val="008018FD"/>
    <w:rsid w:val="008069D7"/>
    <w:rsid w:val="00814EDE"/>
    <w:rsid w:val="008657C9"/>
    <w:rsid w:val="00897AF4"/>
    <w:rsid w:val="008A0993"/>
    <w:rsid w:val="008B2E36"/>
    <w:rsid w:val="008B6CCD"/>
    <w:rsid w:val="008C1470"/>
    <w:rsid w:val="008C29B4"/>
    <w:rsid w:val="008C7687"/>
    <w:rsid w:val="008D2C1C"/>
    <w:rsid w:val="008D7FB3"/>
    <w:rsid w:val="008E2D17"/>
    <w:rsid w:val="008F4085"/>
    <w:rsid w:val="0090037C"/>
    <w:rsid w:val="00926079"/>
    <w:rsid w:val="00932052"/>
    <w:rsid w:val="00937681"/>
    <w:rsid w:val="00941C6E"/>
    <w:rsid w:val="00942E77"/>
    <w:rsid w:val="00951B00"/>
    <w:rsid w:val="00951CB5"/>
    <w:rsid w:val="00951FD9"/>
    <w:rsid w:val="00955493"/>
    <w:rsid w:val="00964FDE"/>
    <w:rsid w:val="00976AF9"/>
    <w:rsid w:val="0099128E"/>
    <w:rsid w:val="00997E4E"/>
    <w:rsid w:val="009A3842"/>
    <w:rsid w:val="009A4650"/>
    <w:rsid w:val="009A6073"/>
    <w:rsid w:val="009B0430"/>
    <w:rsid w:val="009B4AF3"/>
    <w:rsid w:val="009C38F1"/>
    <w:rsid w:val="009D349C"/>
    <w:rsid w:val="009D3809"/>
    <w:rsid w:val="009D574B"/>
    <w:rsid w:val="009E08D2"/>
    <w:rsid w:val="009F31DE"/>
    <w:rsid w:val="009F4090"/>
    <w:rsid w:val="00A009BB"/>
    <w:rsid w:val="00A014B6"/>
    <w:rsid w:val="00A03BD8"/>
    <w:rsid w:val="00A04E1F"/>
    <w:rsid w:val="00A057A9"/>
    <w:rsid w:val="00A108E1"/>
    <w:rsid w:val="00A15EF4"/>
    <w:rsid w:val="00A32CCB"/>
    <w:rsid w:val="00A44108"/>
    <w:rsid w:val="00A5458C"/>
    <w:rsid w:val="00A54BF8"/>
    <w:rsid w:val="00A5684F"/>
    <w:rsid w:val="00A7748F"/>
    <w:rsid w:val="00A8007F"/>
    <w:rsid w:val="00AA09CD"/>
    <w:rsid w:val="00AA154A"/>
    <w:rsid w:val="00AB3DB6"/>
    <w:rsid w:val="00AB4CB9"/>
    <w:rsid w:val="00AB573F"/>
    <w:rsid w:val="00AD02B1"/>
    <w:rsid w:val="00AD5296"/>
    <w:rsid w:val="00AD6B6C"/>
    <w:rsid w:val="00AD736D"/>
    <w:rsid w:val="00AD785A"/>
    <w:rsid w:val="00AE7541"/>
    <w:rsid w:val="00AF7039"/>
    <w:rsid w:val="00B00ED0"/>
    <w:rsid w:val="00B06C83"/>
    <w:rsid w:val="00B550CD"/>
    <w:rsid w:val="00B77DB7"/>
    <w:rsid w:val="00B91746"/>
    <w:rsid w:val="00BA0B7E"/>
    <w:rsid w:val="00BA22D6"/>
    <w:rsid w:val="00BA40BA"/>
    <w:rsid w:val="00BA6670"/>
    <w:rsid w:val="00BB5F3A"/>
    <w:rsid w:val="00BC0B3E"/>
    <w:rsid w:val="00BC3C1A"/>
    <w:rsid w:val="00BD0717"/>
    <w:rsid w:val="00BF161A"/>
    <w:rsid w:val="00BF655D"/>
    <w:rsid w:val="00C037E5"/>
    <w:rsid w:val="00C13B96"/>
    <w:rsid w:val="00C3267D"/>
    <w:rsid w:val="00C53BD0"/>
    <w:rsid w:val="00C82CBE"/>
    <w:rsid w:val="00C91BB3"/>
    <w:rsid w:val="00C93435"/>
    <w:rsid w:val="00C94CDF"/>
    <w:rsid w:val="00C95B3D"/>
    <w:rsid w:val="00C96A0B"/>
    <w:rsid w:val="00CA2B7E"/>
    <w:rsid w:val="00CB7C9E"/>
    <w:rsid w:val="00CC5248"/>
    <w:rsid w:val="00CC571D"/>
    <w:rsid w:val="00CE35C3"/>
    <w:rsid w:val="00D0785A"/>
    <w:rsid w:val="00D13690"/>
    <w:rsid w:val="00D226AE"/>
    <w:rsid w:val="00D27470"/>
    <w:rsid w:val="00D52C81"/>
    <w:rsid w:val="00D5682A"/>
    <w:rsid w:val="00D57F4D"/>
    <w:rsid w:val="00D6627F"/>
    <w:rsid w:val="00D77AF9"/>
    <w:rsid w:val="00D84B3A"/>
    <w:rsid w:val="00D900DB"/>
    <w:rsid w:val="00D9056A"/>
    <w:rsid w:val="00DA0FBE"/>
    <w:rsid w:val="00DA423E"/>
    <w:rsid w:val="00DA7630"/>
    <w:rsid w:val="00DB7442"/>
    <w:rsid w:val="00DC4D8C"/>
    <w:rsid w:val="00DC6C3D"/>
    <w:rsid w:val="00DD60A9"/>
    <w:rsid w:val="00DE1CE0"/>
    <w:rsid w:val="00DE6166"/>
    <w:rsid w:val="00DF70AD"/>
    <w:rsid w:val="00DF7662"/>
    <w:rsid w:val="00E02332"/>
    <w:rsid w:val="00E02FEB"/>
    <w:rsid w:val="00E03F07"/>
    <w:rsid w:val="00E14325"/>
    <w:rsid w:val="00E25BF1"/>
    <w:rsid w:val="00E665D9"/>
    <w:rsid w:val="00E9294F"/>
    <w:rsid w:val="00EA02AB"/>
    <w:rsid w:val="00EA151D"/>
    <w:rsid w:val="00EB090C"/>
    <w:rsid w:val="00EB7615"/>
    <w:rsid w:val="00EC117E"/>
    <w:rsid w:val="00ED26B9"/>
    <w:rsid w:val="00ED3744"/>
    <w:rsid w:val="00EE6FCB"/>
    <w:rsid w:val="00EF396E"/>
    <w:rsid w:val="00EF7654"/>
    <w:rsid w:val="00F05458"/>
    <w:rsid w:val="00F33BCB"/>
    <w:rsid w:val="00F43175"/>
    <w:rsid w:val="00F43B17"/>
    <w:rsid w:val="00F63681"/>
    <w:rsid w:val="00F6596B"/>
    <w:rsid w:val="00F65D33"/>
    <w:rsid w:val="00F768A0"/>
    <w:rsid w:val="00F80FE2"/>
    <w:rsid w:val="00F9093C"/>
    <w:rsid w:val="00F97E90"/>
    <w:rsid w:val="00FB4755"/>
    <w:rsid w:val="00FD0BA8"/>
    <w:rsid w:val="00FF04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11DA5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2"/>
        <w:lang w:val="en-US" w:eastAsia="en-US" w:bidi="ar-SA"/>
      </w:rPr>
    </w:rPrDefault>
    <w:pPrDefault>
      <w:pPr>
        <w:spacing w:line="480"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093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D6C89"/>
    <w:pPr>
      <w:ind w:left="720"/>
      <w:contextualSpacing/>
    </w:pPr>
  </w:style>
  <w:style w:type="character" w:styleId="Hyperlink">
    <w:name w:val="Hyperlink"/>
    <w:basedOn w:val="DefaultParagraphFont"/>
    <w:uiPriority w:val="99"/>
    <w:unhideWhenUsed/>
    <w:rsid w:val="00ED26B9"/>
    <w:rPr>
      <w:color w:val="0000FF" w:themeColor="hyperlink"/>
      <w:u w:val="single"/>
    </w:rPr>
  </w:style>
  <w:style w:type="paragraph" w:styleId="Header">
    <w:name w:val="header"/>
    <w:basedOn w:val="Normal"/>
    <w:link w:val="HeaderChar"/>
    <w:uiPriority w:val="99"/>
    <w:unhideWhenUsed/>
    <w:rsid w:val="00200327"/>
    <w:pPr>
      <w:tabs>
        <w:tab w:val="center" w:pos="4680"/>
        <w:tab w:val="right" w:pos="9360"/>
      </w:tabs>
      <w:spacing w:line="240" w:lineRule="auto"/>
    </w:pPr>
  </w:style>
  <w:style w:type="character" w:customStyle="1" w:styleId="HeaderChar">
    <w:name w:val="Header Char"/>
    <w:basedOn w:val="DefaultParagraphFont"/>
    <w:link w:val="Header"/>
    <w:uiPriority w:val="99"/>
    <w:rsid w:val="00200327"/>
  </w:style>
  <w:style w:type="paragraph" w:styleId="Footer">
    <w:name w:val="footer"/>
    <w:basedOn w:val="Normal"/>
    <w:link w:val="FooterChar"/>
    <w:uiPriority w:val="99"/>
    <w:unhideWhenUsed/>
    <w:rsid w:val="00200327"/>
    <w:pPr>
      <w:tabs>
        <w:tab w:val="center" w:pos="4680"/>
        <w:tab w:val="right" w:pos="9360"/>
      </w:tabs>
      <w:spacing w:line="240" w:lineRule="auto"/>
    </w:pPr>
  </w:style>
  <w:style w:type="character" w:customStyle="1" w:styleId="FooterChar">
    <w:name w:val="Footer Char"/>
    <w:basedOn w:val="DefaultParagraphFont"/>
    <w:link w:val="Footer"/>
    <w:uiPriority w:val="99"/>
    <w:rsid w:val="00200327"/>
  </w:style>
  <w:style w:type="paragraph" w:styleId="BalloonText">
    <w:name w:val="Balloon Text"/>
    <w:basedOn w:val="Normal"/>
    <w:link w:val="BalloonTextChar"/>
    <w:uiPriority w:val="99"/>
    <w:semiHidden/>
    <w:unhideWhenUsed/>
    <w:rsid w:val="00200327"/>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27"/>
    <w:rPr>
      <w:rFonts w:ascii="Tahoma" w:hAnsi="Tahoma" w:cs="Tahoma"/>
      <w:sz w:val="16"/>
      <w:szCs w:val="16"/>
    </w:rPr>
  </w:style>
  <w:style w:type="character" w:styleId="Emphasis">
    <w:name w:val="Emphasis"/>
    <w:basedOn w:val="DefaultParagraphFont"/>
    <w:uiPriority w:val="20"/>
    <w:qFormat/>
    <w:rsid w:val="00F33BCB"/>
    <w:rPr>
      <w:i/>
      <w:iCs/>
    </w:rPr>
  </w:style>
  <w:style w:type="character" w:customStyle="1" w:styleId="cosearchterm">
    <w:name w:val="co_searchterm"/>
    <w:basedOn w:val="DefaultParagraphFont"/>
    <w:rsid w:val="00F33BCB"/>
  </w:style>
  <w:style w:type="paragraph" w:styleId="FootnoteText">
    <w:name w:val="footnote text"/>
    <w:basedOn w:val="Normal"/>
    <w:link w:val="FootnoteTextChar"/>
    <w:uiPriority w:val="99"/>
    <w:semiHidden/>
    <w:unhideWhenUsed/>
    <w:rsid w:val="00EA151D"/>
    <w:pPr>
      <w:spacing w:line="240" w:lineRule="auto"/>
    </w:pPr>
    <w:rPr>
      <w:sz w:val="20"/>
      <w:szCs w:val="20"/>
    </w:rPr>
  </w:style>
  <w:style w:type="character" w:customStyle="1" w:styleId="FootnoteTextChar">
    <w:name w:val="Footnote Text Char"/>
    <w:basedOn w:val="DefaultParagraphFont"/>
    <w:link w:val="FootnoteText"/>
    <w:uiPriority w:val="99"/>
    <w:semiHidden/>
    <w:rsid w:val="00EA151D"/>
    <w:rPr>
      <w:sz w:val="20"/>
      <w:szCs w:val="20"/>
    </w:rPr>
  </w:style>
  <w:style w:type="character" w:styleId="FootnoteReference">
    <w:name w:val="footnote reference"/>
    <w:basedOn w:val="DefaultParagraphFont"/>
    <w:uiPriority w:val="99"/>
    <w:semiHidden/>
    <w:unhideWhenUsed/>
    <w:rsid w:val="00EA151D"/>
    <w:rPr>
      <w:vertAlign w:val="superscript"/>
    </w:rPr>
  </w:style>
  <w:style w:type="paragraph" w:styleId="NoSpacing">
    <w:name w:val="No Spacing"/>
    <w:uiPriority w:val="1"/>
    <w:qFormat/>
    <w:rsid w:val="00D9056A"/>
    <w:pPr>
      <w:spacing w:line="240" w:lineRule="auto"/>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2"/>
        <w:lang w:val="en-US" w:eastAsia="en-US" w:bidi="ar-SA"/>
      </w:rPr>
    </w:rPrDefault>
    <w:pPrDefault>
      <w:pPr>
        <w:spacing w:line="480"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093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D6C89"/>
    <w:pPr>
      <w:ind w:left="720"/>
      <w:contextualSpacing/>
    </w:pPr>
  </w:style>
  <w:style w:type="character" w:styleId="Hyperlink">
    <w:name w:val="Hyperlink"/>
    <w:basedOn w:val="DefaultParagraphFont"/>
    <w:uiPriority w:val="99"/>
    <w:unhideWhenUsed/>
    <w:rsid w:val="00ED26B9"/>
    <w:rPr>
      <w:color w:val="0000FF" w:themeColor="hyperlink"/>
      <w:u w:val="single"/>
    </w:rPr>
  </w:style>
  <w:style w:type="paragraph" w:styleId="Header">
    <w:name w:val="header"/>
    <w:basedOn w:val="Normal"/>
    <w:link w:val="HeaderChar"/>
    <w:uiPriority w:val="99"/>
    <w:unhideWhenUsed/>
    <w:rsid w:val="00200327"/>
    <w:pPr>
      <w:tabs>
        <w:tab w:val="center" w:pos="4680"/>
        <w:tab w:val="right" w:pos="9360"/>
      </w:tabs>
      <w:spacing w:line="240" w:lineRule="auto"/>
    </w:pPr>
  </w:style>
  <w:style w:type="character" w:customStyle="1" w:styleId="HeaderChar">
    <w:name w:val="Header Char"/>
    <w:basedOn w:val="DefaultParagraphFont"/>
    <w:link w:val="Header"/>
    <w:uiPriority w:val="99"/>
    <w:rsid w:val="00200327"/>
  </w:style>
  <w:style w:type="paragraph" w:styleId="Footer">
    <w:name w:val="footer"/>
    <w:basedOn w:val="Normal"/>
    <w:link w:val="FooterChar"/>
    <w:uiPriority w:val="99"/>
    <w:unhideWhenUsed/>
    <w:rsid w:val="00200327"/>
    <w:pPr>
      <w:tabs>
        <w:tab w:val="center" w:pos="4680"/>
        <w:tab w:val="right" w:pos="9360"/>
      </w:tabs>
      <w:spacing w:line="240" w:lineRule="auto"/>
    </w:pPr>
  </w:style>
  <w:style w:type="character" w:customStyle="1" w:styleId="FooterChar">
    <w:name w:val="Footer Char"/>
    <w:basedOn w:val="DefaultParagraphFont"/>
    <w:link w:val="Footer"/>
    <w:uiPriority w:val="99"/>
    <w:rsid w:val="00200327"/>
  </w:style>
  <w:style w:type="paragraph" w:styleId="BalloonText">
    <w:name w:val="Balloon Text"/>
    <w:basedOn w:val="Normal"/>
    <w:link w:val="BalloonTextChar"/>
    <w:uiPriority w:val="99"/>
    <w:semiHidden/>
    <w:unhideWhenUsed/>
    <w:rsid w:val="00200327"/>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27"/>
    <w:rPr>
      <w:rFonts w:ascii="Tahoma" w:hAnsi="Tahoma" w:cs="Tahoma"/>
      <w:sz w:val="16"/>
      <w:szCs w:val="16"/>
    </w:rPr>
  </w:style>
  <w:style w:type="character" w:styleId="Emphasis">
    <w:name w:val="Emphasis"/>
    <w:basedOn w:val="DefaultParagraphFont"/>
    <w:uiPriority w:val="20"/>
    <w:qFormat/>
    <w:rsid w:val="00F33BCB"/>
    <w:rPr>
      <w:i/>
      <w:iCs/>
    </w:rPr>
  </w:style>
  <w:style w:type="character" w:customStyle="1" w:styleId="cosearchterm">
    <w:name w:val="co_searchterm"/>
    <w:basedOn w:val="DefaultParagraphFont"/>
    <w:rsid w:val="00F33BCB"/>
  </w:style>
  <w:style w:type="paragraph" w:styleId="FootnoteText">
    <w:name w:val="footnote text"/>
    <w:basedOn w:val="Normal"/>
    <w:link w:val="FootnoteTextChar"/>
    <w:uiPriority w:val="99"/>
    <w:semiHidden/>
    <w:unhideWhenUsed/>
    <w:rsid w:val="00EA151D"/>
    <w:pPr>
      <w:spacing w:line="240" w:lineRule="auto"/>
    </w:pPr>
    <w:rPr>
      <w:sz w:val="20"/>
      <w:szCs w:val="20"/>
    </w:rPr>
  </w:style>
  <w:style w:type="character" w:customStyle="1" w:styleId="FootnoteTextChar">
    <w:name w:val="Footnote Text Char"/>
    <w:basedOn w:val="DefaultParagraphFont"/>
    <w:link w:val="FootnoteText"/>
    <w:uiPriority w:val="99"/>
    <w:semiHidden/>
    <w:rsid w:val="00EA151D"/>
    <w:rPr>
      <w:sz w:val="20"/>
      <w:szCs w:val="20"/>
    </w:rPr>
  </w:style>
  <w:style w:type="character" w:styleId="FootnoteReference">
    <w:name w:val="footnote reference"/>
    <w:basedOn w:val="DefaultParagraphFont"/>
    <w:uiPriority w:val="99"/>
    <w:semiHidden/>
    <w:unhideWhenUsed/>
    <w:rsid w:val="00EA151D"/>
    <w:rPr>
      <w:vertAlign w:val="superscript"/>
    </w:rPr>
  </w:style>
  <w:style w:type="paragraph" w:styleId="NoSpacing">
    <w:name w:val="No Spacing"/>
    <w:uiPriority w:val="1"/>
    <w:qFormat/>
    <w:rsid w:val="00D9056A"/>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0309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s://1.next.westlaw.com/Link/Document/FullText?findType=Y&amp;serNum=1944117044&amp;pubNum=708&amp;originationContext=document&amp;transitionType=DocumentItem&amp;contextData=%28sc.Search%29" TargetMode="External"/><Relationship Id="rId12" Type="http://schemas.openxmlformats.org/officeDocument/2006/relationships/hyperlink" Target="http://www.westlaw.com/Find/Default.wl?rs=dfa1.0&amp;vr=2.0&amp;DB=1000546&amp;DocName=17USCAS101&amp;FindType=L" TargetMode="Externa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hyperlink" Target="https://1.next.westlaw.com/Link/Document/FullText?findType=Y&amp;serNum=1944117044&amp;pubNum=708&amp;originationContext=document&amp;transitionType=DocumentItem&amp;contextData=%28sc.Search%2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BDEAE138-F372-A947-9E8A-C20552581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3732</Words>
  <Characters>18903</Characters>
  <Application>Microsoft Macintosh Word</Application>
  <DocSecurity>0</DocSecurity>
  <Lines>311</Lines>
  <Paragraphs>79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22983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4</cp:revision>
  <cp:lastPrinted>2010-03-24T12:14:00Z</cp:lastPrinted>
  <dcterms:created xsi:type="dcterms:W3CDTF">2012-04-11T01:48:00Z</dcterms:created>
  <dcterms:modified xsi:type="dcterms:W3CDTF">2012-06-16T05:08:00Z</dcterms:modified>
  <cp:category/>
</cp:coreProperties>
</file>